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E07F7">
        <w:rPr>
          <w:rFonts w:ascii="Arial" w:hAnsi="Arial" w:cs="Arial"/>
          <w:sz w:val="24"/>
          <w:szCs w:val="28"/>
          <w:lang w:val="en-CA"/>
        </w:rPr>
        <w:t>4</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3546C5" w:rsidRPr="00862C73">
        <w:rPr>
          <w:rFonts w:ascii="Arial" w:hAnsi="Arial" w:cs="Arial"/>
          <w:sz w:val="24"/>
          <w:szCs w:val="28"/>
          <w:lang w:val="en-CA"/>
        </w:rPr>
        <w:t>0</w:t>
      </w:r>
      <w:r w:rsidR="00FB1906">
        <w:rPr>
          <w:rFonts w:ascii="Arial" w:hAnsi="Arial" w:cs="Arial"/>
          <w:sz w:val="24"/>
          <w:szCs w:val="28"/>
          <w:lang w:val="en-CA"/>
        </w:rPr>
        <w:t>8313</w:t>
      </w:r>
    </w:p>
    <w:p w:rsidR="00D80957" w:rsidRPr="00862C73" w:rsidRDefault="004E07F7" w:rsidP="005A4F39">
      <w:pPr>
        <w:pStyle w:val="Header"/>
        <w:tabs>
          <w:tab w:val="right" w:pos="9072"/>
        </w:tabs>
        <w:rPr>
          <w:rFonts w:ascii="Arial" w:hAnsi="Arial" w:cs="Arial"/>
          <w:sz w:val="24"/>
          <w:szCs w:val="28"/>
          <w:lang w:val="en-CA"/>
        </w:rPr>
      </w:pPr>
      <w:r>
        <w:rPr>
          <w:rFonts w:ascii="Arial" w:hAnsi="Arial" w:cs="Arial"/>
          <w:sz w:val="24"/>
          <w:szCs w:val="28"/>
          <w:lang w:val="en-CA"/>
        </w:rPr>
        <w:t>Berlin</w:t>
      </w:r>
      <w:r w:rsidR="006F2C29" w:rsidRPr="00862C73">
        <w:rPr>
          <w:rFonts w:ascii="Arial" w:hAnsi="Arial" w:cs="Arial"/>
          <w:sz w:val="24"/>
          <w:szCs w:val="28"/>
          <w:lang w:val="en-CA"/>
        </w:rPr>
        <w:t xml:space="preserve">, </w:t>
      </w:r>
      <w:r>
        <w:rPr>
          <w:rFonts w:ascii="Arial" w:hAnsi="Arial" w:cs="Arial"/>
          <w:sz w:val="24"/>
          <w:szCs w:val="28"/>
          <w:lang w:val="en-CA"/>
        </w:rPr>
        <w:t>Germany</w:t>
      </w:r>
      <w:r w:rsidR="006F2C29" w:rsidRPr="00862C73">
        <w:rPr>
          <w:rFonts w:ascii="Arial" w:hAnsi="Arial" w:cs="Arial"/>
          <w:sz w:val="24"/>
          <w:szCs w:val="28"/>
          <w:lang w:val="en-CA"/>
        </w:rPr>
        <w:t xml:space="preserve">, </w:t>
      </w:r>
      <w:r>
        <w:rPr>
          <w:rFonts w:ascii="Arial" w:hAnsi="Arial" w:cs="Arial"/>
          <w:sz w:val="24"/>
          <w:szCs w:val="28"/>
          <w:lang w:val="en-CA"/>
        </w:rPr>
        <w:t>August</w:t>
      </w:r>
      <w:r w:rsidR="006F2C29" w:rsidRPr="00862C73">
        <w:rPr>
          <w:rFonts w:ascii="Arial" w:hAnsi="Arial" w:cs="Arial"/>
          <w:sz w:val="24"/>
          <w:szCs w:val="28"/>
          <w:lang w:val="en-CA"/>
        </w:rPr>
        <w:t xml:space="preserve"> </w:t>
      </w:r>
      <w:r>
        <w:rPr>
          <w:rFonts w:ascii="Arial" w:hAnsi="Arial" w:cs="Arial"/>
          <w:sz w:val="24"/>
          <w:szCs w:val="28"/>
          <w:lang w:val="en-CA"/>
        </w:rPr>
        <w:t>21</w:t>
      </w:r>
      <w:r w:rsidR="006F2C29" w:rsidRPr="00862C73">
        <w:rPr>
          <w:rFonts w:ascii="Arial" w:hAnsi="Arial" w:cs="Arial"/>
          <w:sz w:val="24"/>
          <w:szCs w:val="28"/>
          <w:lang w:val="en-CA"/>
        </w:rPr>
        <w:t xml:space="preserve"> – </w:t>
      </w:r>
      <w:r>
        <w:rPr>
          <w:rFonts w:ascii="Arial" w:hAnsi="Arial" w:cs="Arial"/>
          <w:sz w:val="24"/>
          <w:szCs w:val="28"/>
          <w:lang w:val="en-CA"/>
        </w:rPr>
        <w:t>25</w:t>
      </w:r>
      <w:r w:rsidR="006F2C29" w:rsidRPr="00862C73">
        <w:rPr>
          <w:rFonts w:ascii="Arial" w:hAnsi="Arial" w:cs="Arial"/>
          <w:sz w:val="24"/>
          <w:szCs w:val="28"/>
          <w:lang w:val="en-CA"/>
        </w:rPr>
        <w:t>,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115B7C" w:rsidRPr="00115B7C">
        <w:rPr>
          <w:rFonts w:ascii="Arial" w:hAnsi="Arial" w:cs="Arial"/>
          <w:bCs/>
          <w:sz w:val="22"/>
          <w:szCs w:val="22"/>
          <w:lang w:val="en-CA"/>
        </w:rPr>
        <w:t>7.9.5.2</w:t>
      </w:r>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7F01FB">
        <w:rPr>
          <w:rFonts w:ascii="Arial" w:hAnsi="Arial" w:cs="Arial"/>
          <w:sz w:val="22"/>
          <w:szCs w:val="22"/>
          <w:lang w:val="en-CA"/>
        </w:rPr>
        <w:t>Inter-frequency RSRP and RSRQ measurement accuracies for UE Cat M1</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Pr="00862C73" w:rsidRDefault="00D80957" w:rsidP="00BC3FE3">
      <w:pPr>
        <w:pStyle w:val="Heading1"/>
        <w:ind w:left="431" w:hanging="431"/>
        <w:rPr>
          <w:szCs w:val="36"/>
          <w:lang w:val="en-CA"/>
        </w:rPr>
      </w:pPr>
      <w:r w:rsidRPr="00862C73">
        <w:rPr>
          <w:szCs w:val="36"/>
          <w:lang w:val="en-CA"/>
        </w:rPr>
        <w:t>Introduction</w:t>
      </w:r>
      <w:bookmarkStart w:id="0" w:name="OLE_LINK13"/>
      <w:bookmarkStart w:id="1" w:name="OLE_LINK14"/>
    </w:p>
    <w:p w:rsidR="00795BA1" w:rsidRDefault="00FE2523" w:rsidP="00BD2156">
      <w:pPr>
        <w:jc w:val="both"/>
        <w:rPr>
          <w:sz w:val="22"/>
          <w:szCs w:val="22"/>
          <w:lang w:val="en-CA"/>
        </w:rPr>
      </w:pPr>
      <w:r>
        <w:rPr>
          <w:sz w:val="22"/>
          <w:szCs w:val="22"/>
          <w:lang w:val="en-CA"/>
        </w:rPr>
        <w:t>Placeholders for measurement accuracy requirements for UE cat M1 were introduce</w:t>
      </w:r>
      <w:r w:rsidR="00665C46">
        <w:rPr>
          <w:sz w:val="22"/>
          <w:szCs w:val="22"/>
          <w:lang w:val="en-CA"/>
        </w:rPr>
        <w:t>d to TS 36.133 at the RAN4#83 meeting in Hangzhou</w:t>
      </w:r>
      <w:r>
        <w:rPr>
          <w:sz w:val="22"/>
          <w:szCs w:val="22"/>
          <w:lang w:val="en-CA"/>
        </w:rPr>
        <w:t>. The requirements that need to be populated are:</w:t>
      </w:r>
    </w:p>
    <w:p w:rsidR="00FE2523" w:rsidRPr="00643CF5" w:rsidRDefault="00FE2523" w:rsidP="00FE2523">
      <w:pPr>
        <w:rPr>
          <w:sz w:val="22"/>
          <w:szCs w:val="22"/>
        </w:rPr>
      </w:pPr>
      <w:r w:rsidRPr="00643CF5">
        <w:rPr>
          <w:sz w:val="22"/>
          <w:szCs w:val="22"/>
        </w:rPr>
        <w:t>9.1.21.6</w:t>
      </w:r>
      <w:r w:rsidR="00643CF5">
        <w:rPr>
          <w:sz w:val="22"/>
          <w:szCs w:val="22"/>
        </w:rPr>
        <w:tab/>
      </w:r>
      <w:r w:rsidR="00643CF5">
        <w:rPr>
          <w:sz w:val="22"/>
          <w:szCs w:val="22"/>
        </w:rPr>
        <w:tab/>
      </w:r>
      <w:r w:rsidR="00643CF5">
        <w:rPr>
          <w:sz w:val="22"/>
          <w:szCs w:val="22"/>
        </w:rPr>
        <w:tab/>
      </w:r>
      <w:r w:rsidRPr="00643CF5">
        <w:rPr>
          <w:sz w:val="22"/>
          <w:szCs w:val="22"/>
        </w:rPr>
        <w:t>Intra-frequency Absolute Accuracy of RSRQ for UE category M1 with CE mode A</w:t>
      </w:r>
    </w:p>
    <w:p w:rsidR="00FE2523" w:rsidRPr="00643CF5" w:rsidRDefault="00FE2523" w:rsidP="00FE2523">
      <w:pPr>
        <w:rPr>
          <w:sz w:val="22"/>
          <w:szCs w:val="22"/>
        </w:rPr>
      </w:pPr>
      <w:r w:rsidRPr="00643CF5">
        <w:rPr>
          <w:sz w:val="22"/>
          <w:szCs w:val="22"/>
        </w:rPr>
        <w:t>9.1.21.7</w:t>
      </w:r>
      <w:r w:rsidR="00643CF5">
        <w:rPr>
          <w:sz w:val="22"/>
          <w:szCs w:val="22"/>
        </w:rPr>
        <w:tab/>
      </w:r>
      <w:r w:rsidR="00643CF5">
        <w:rPr>
          <w:sz w:val="22"/>
          <w:szCs w:val="22"/>
        </w:rPr>
        <w:tab/>
      </w:r>
      <w:r w:rsidR="00643CF5">
        <w:rPr>
          <w:sz w:val="22"/>
          <w:szCs w:val="22"/>
        </w:rPr>
        <w:tab/>
      </w:r>
      <w:r w:rsidRPr="00643CF5">
        <w:rPr>
          <w:sz w:val="22"/>
          <w:szCs w:val="22"/>
        </w:rPr>
        <w:t>Intra-frequency Absolute Accuracy of RSRQ for UE category M1 with CE mode B</w:t>
      </w:r>
    </w:p>
    <w:p w:rsidR="00FE2523" w:rsidRPr="00643CF5" w:rsidRDefault="00FE2523" w:rsidP="00FE2523">
      <w:pPr>
        <w:rPr>
          <w:sz w:val="22"/>
          <w:szCs w:val="22"/>
        </w:rPr>
      </w:pPr>
      <w:r w:rsidRPr="00643CF5">
        <w:rPr>
          <w:sz w:val="22"/>
          <w:szCs w:val="22"/>
        </w:rPr>
        <w:t>9.1.21.9</w:t>
      </w:r>
      <w:r w:rsidR="00643CF5">
        <w:rPr>
          <w:sz w:val="22"/>
          <w:szCs w:val="22"/>
        </w:rPr>
        <w:tab/>
      </w:r>
      <w:r w:rsidR="00643CF5">
        <w:rPr>
          <w:sz w:val="22"/>
          <w:szCs w:val="22"/>
        </w:rPr>
        <w:tab/>
      </w:r>
      <w:r w:rsidR="00643CF5">
        <w:rPr>
          <w:sz w:val="22"/>
          <w:szCs w:val="22"/>
        </w:rPr>
        <w:tab/>
      </w:r>
      <w:r w:rsidRPr="00643CF5">
        <w:rPr>
          <w:sz w:val="22"/>
          <w:szCs w:val="22"/>
        </w:rPr>
        <w:t>Inter-frequency Absolute RSRP Accuracy for UE category M1 with CE mode A</w:t>
      </w:r>
    </w:p>
    <w:p w:rsidR="00FE2523" w:rsidRPr="00643CF5" w:rsidRDefault="00FE2523" w:rsidP="00FE2523">
      <w:pPr>
        <w:rPr>
          <w:sz w:val="22"/>
          <w:szCs w:val="22"/>
        </w:rPr>
      </w:pPr>
      <w:r w:rsidRPr="00643CF5">
        <w:rPr>
          <w:sz w:val="22"/>
          <w:szCs w:val="22"/>
        </w:rPr>
        <w:t>9.1.21.10</w:t>
      </w:r>
      <w:r w:rsidR="00643CF5">
        <w:rPr>
          <w:sz w:val="22"/>
          <w:szCs w:val="22"/>
        </w:rPr>
        <w:tab/>
      </w:r>
      <w:r w:rsidR="00643CF5">
        <w:rPr>
          <w:sz w:val="22"/>
          <w:szCs w:val="22"/>
        </w:rPr>
        <w:tab/>
      </w:r>
      <w:r w:rsidR="00643CF5">
        <w:rPr>
          <w:sz w:val="22"/>
          <w:szCs w:val="22"/>
        </w:rPr>
        <w:tab/>
      </w:r>
      <w:r w:rsidRPr="00643CF5">
        <w:rPr>
          <w:sz w:val="22"/>
          <w:szCs w:val="22"/>
        </w:rPr>
        <w:t>Inter-frequency Relative Accuracy of RSRP for UE category M1 with CE mode A</w:t>
      </w:r>
    </w:p>
    <w:p w:rsidR="00FE2523" w:rsidRPr="00643CF5" w:rsidRDefault="00FE2523" w:rsidP="00FE2523">
      <w:pPr>
        <w:rPr>
          <w:sz w:val="22"/>
          <w:szCs w:val="22"/>
        </w:rPr>
      </w:pPr>
      <w:r w:rsidRPr="00643CF5">
        <w:rPr>
          <w:sz w:val="22"/>
          <w:szCs w:val="22"/>
        </w:rPr>
        <w:t>9.1.21.11</w:t>
      </w:r>
      <w:r w:rsidR="00643CF5">
        <w:rPr>
          <w:sz w:val="22"/>
          <w:szCs w:val="22"/>
        </w:rPr>
        <w:tab/>
      </w:r>
      <w:r w:rsidR="00643CF5">
        <w:rPr>
          <w:sz w:val="22"/>
          <w:szCs w:val="22"/>
        </w:rPr>
        <w:tab/>
      </w:r>
      <w:r w:rsidR="00643CF5">
        <w:rPr>
          <w:sz w:val="22"/>
          <w:szCs w:val="22"/>
        </w:rPr>
        <w:tab/>
      </w:r>
      <w:r w:rsidRPr="00643CF5">
        <w:rPr>
          <w:sz w:val="22"/>
          <w:szCs w:val="22"/>
        </w:rPr>
        <w:t>Inter-frequency Absolute RSRP Accuracy for UE category M1 with CE mode B</w:t>
      </w:r>
    </w:p>
    <w:p w:rsidR="00FE2523" w:rsidRPr="00643CF5" w:rsidRDefault="00FE2523" w:rsidP="00FE2523">
      <w:pPr>
        <w:rPr>
          <w:sz w:val="22"/>
          <w:szCs w:val="22"/>
        </w:rPr>
      </w:pPr>
      <w:r w:rsidRPr="00643CF5">
        <w:rPr>
          <w:sz w:val="22"/>
          <w:szCs w:val="22"/>
        </w:rPr>
        <w:t>9.1.21.12</w:t>
      </w:r>
      <w:r w:rsidR="00643CF5">
        <w:rPr>
          <w:sz w:val="22"/>
          <w:szCs w:val="22"/>
        </w:rPr>
        <w:tab/>
      </w:r>
      <w:r w:rsidR="00643CF5">
        <w:rPr>
          <w:sz w:val="22"/>
          <w:szCs w:val="22"/>
        </w:rPr>
        <w:tab/>
      </w:r>
      <w:r w:rsidR="00643CF5">
        <w:rPr>
          <w:sz w:val="22"/>
          <w:szCs w:val="22"/>
        </w:rPr>
        <w:tab/>
      </w:r>
      <w:r w:rsidRPr="00643CF5">
        <w:rPr>
          <w:sz w:val="22"/>
          <w:szCs w:val="22"/>
        </w:rPr>
        <w:t>Inter-frequency Relative Accuracy of RSRP for UE category M1 with CE mode B</w:t>
      </w:r>
    </w:p>
    <w:p w:rsidR="00FE2523" w:rsidRPr="00643CF5" w:rsidRDefault="00FE2523" w:rsidP="00FE2523">
      <w:pPr>
        <w:rPr>
          <w:sz w:val="22"/>
          <w:szCs w:val="22"/>
        </w:rPr>
      </w:pPr>
      <w:r w:rsidRPr="00643CF5">
        <w:rPr>
          <w:sz w:val="22"/>
          <w:szCs w:val="22"/>
        </w:rPr>
        <w:t>9.1.21.13</w:t>
      </w:r>
      <w:r w:rsidR="00643CF5">
        <w:rPr>
          <w:sz w:val="22"/>
          <w:szCs w:val="22"/>
        </w:rPr>
        <w:tab/>
      </w:r>
      <w:r w:rsidR="00643CF5">
        <w:rPr>
          <w:sz w:val="22"/>
          <w:szCs w:val="22"/>
        </w:rPr>
        <w:tab/>
      </w:r>
      <w:r w:rsidR="00643CF5">
        <w:rPr>
          <w:sz w:val="22"/>
          <w:szCs w:val="22"/>
        </w:rPr>
        <w:tab/>
      </w:r>
      <w:r w:rsidRPr="00643CF5">
        <w:rPr>
          <w:sz w:val="22"/>
          <w:szCs w:val="22"/>
        </w:rPr>
        <w:t>Inter-frequency Absolute Accuracy of RSRQ for UE category M1 in CE mode A</w:t>
      </w:r>
    </w:p>
    <w:p w:rsidR="00FE2523" w:rsidRPr="00643CF5" w:rsidRDefault="00FE2523" w:rsidP="00FE2523">
      <w:pPr>
        <w:rPr>
          <w:sz w:val="22"/>
          <w:szCs w:val="22"/>
        </w:rPr>
      </w:pPr>
      <w:r w:rsidRPr="00643CF5">
        <w:rPr>
          <w:sz w:val="22"/>
          <w:szCs w:val="22"/>
        </w:rPr>
        <w:t>9.1.21.14</w:t>
      </w:r>
      <w:r w:rsidR="00643CF5">
        <w:rPr>
          <w:sz w:val="22"/>
          <w:szCs w:val="22"/>
        </w:rPr>
        <w:tab/>
      </w:r>
      <w:r w:rsidR="00643CF5">
        <w:rPr>
          <w:sz w:val="22"/>
          <w:szCs w:val="22"/>
        </w:rPr>
        <w:tab/>
      </w:r>
      <w:r w:rsidR="00643CF5">
        <w:rPr>
          <w:sz w:val="22"/>
          <w:szCs w:val="22"/>
        </w:rPr>
        <w:tab/>
      </w:r>
      <w:r w:rsidRPr="00643CF5">
        <w:rPr>
          <w:sz w:val="22"/>
          <w:szCs w:val="22"/>
        </w:rPr>
        <w:t>Inter-frequency Relative Accuracy of RSRQ for UE category M1 in CE mode A</w:t>
      </w:r>
    </w:p>
    <w:p w:rsidR="00FE2523" w:rsidRPr="00643CF5" w:rsidRDefault="00FE2523" w:rsidP="00FE2523">
      <w:pPr>
        <w:rPr>
          <w:sz w:val="22"/>
          <w:szCs w:val="22"/>
        </w:rPr>
      </w:pPr>
      <w:r w:rsidRPr="00643CF5">
        <w:rPr>
          <w:sz w:val="22"/>
          <w:szCs w:val="22"/>
        </w:rPr>
        <w:t>9.1.21.15</w:t>
      </w:r>
      <w:r w:rsidR="00643CF5">
        <w:rPr>
          <w:sz w:val="22"/>
          <w:szCs w:val="22"/>
        </w:rPr>
        <w:tab/>
      </w:r>
      <w:r w:rsidR="00643CF5">
        <w:rPr>
          <w:sz w:val="22"/>
          <w:szCs w:val="22"/>
        </w:rPr>
        <w:tab/>
      </w:r>
      <w:r w:rsidR="00643CF5">
        <w:rPr>
          <w:sz w:val="22"/>
          <w:szCs w:val="22"/>
        </w:rPr>
        <w:tab/>
      </w:r>
      <w:r w:rsidRPr="00643CF5">
        <w:rPr>
          <w:sz w:val="22"/>
          <w:szCs w:val="22"/>
        </w:rPr>
        <w:t xml:space="preserve">Inter-frequency </w:t>
      </w:r>
      <w:r w:rsidRPr="00643CF5">
        <w:rPr>
          <w:color w:val="FF0000"/>
          <w:sz w:val="22"/>
          <w:szCs w:val="22"/>
        </w:rPr>
        <w:t xml:space="preserve">Absolute </w:t>
      </w:r>
      <w:r w:rsidRPr="00643CF5">
        <w:rPr>
          <w:strike/>
          <w:color w:val="FF0000"/>
          <w:sz w:val="22"/>
          <w:szCs w:val="22"/>
        </w:rPr>
        <w:t>RSRQ</w:t>
      </w:r>
      <w:r w:rsidRPr="00643CF5">
        <w:rPr>
          <w:sz w:val="22"/>
          <w:szCs w:val="22"/>
        </w:rPr>
        <w:t xml:space="preserve"> Accuracy of RSRQ for UE category M1 in CE mode B</w:t>
      </w:r>
    </w:p>
    <w:p w:rsidR="00FE2523" w:rsidRPr="00643CF5" w:rsidRDefault="00FE2523" w:rsidP="00FE2523">
      <w:pPr>
        <w:rPr>
          <w:sz w:val="22"/>
          <w:szCs w:val="22"/>
        </w:rPr>
      </w:pPr>
      <w:r w:rsidRPr="00643CF5">
        <w:rPr>
          <w:sz w:val="22"/>
          <w:szCs w:val="22"/>
        </w:rPr>
        <w:t>9.1.21.16</w:t>
      </w:r>
      <w:r w:rsidR="00643CF5">
        <w:rPr>
          <w:sz w:val="22"/>
          <w:szCs w:val="22"/>
        </w:rPr>
        <w:tab/>
      </w:r>
      <w:r w:rsidR="00643CF5">
        <w:rPr>
          <w:sz w:val="22"/>
          <w:szCs w:val="22"/>
        </w:rPr>
        <w:tab/>
      </w:r>
      <w:r w:rsidR="00643CF5">
        <w:rPr>
          <w:sz w:val="22"/>
          <w:szCs w:val="22"/>
        </w:rPr>
        <w:tab/>
      </w:r>
      <w:r w:rsidRPr="00643CF5">
        <w:rPr>
          <w:sz w:val="22"/>
          <w:szCs w:val="22"/>
        </w:rPr>
        <w:t>Inter-frequency Relative Accuracy of RSRQ for UE category M1 in CE mode B</w:t>
      </w:r>
    </w:p>
    <w:p w:rsidR="006D35DA" w:rsidRPr="003E47E0" w:rsidRDefault="00643CF5" w:rsidP="003E47E0">
      <w:pPr>
        <w:rPr>
          <w:sz w:val="22"/>
        </w:rPr>
      </w:pPr>
      <w:r w:rsidRPr="00643CF5">
        <w:rPr>
          <w:sz w:val="22"/>
        </w:rPr>
        <w:t>In this contribution</w:t>
      </w:r>
      <w:r>
        <w:rPr>
          <w:sz w:val="22"/>
        </w:rPr>
        <w:t>,</w:t>
      </w:r>
      <w:r w:rsidRPr="00643CF5">
        <w:rPr>
          <w:sz w:val="22"/>
        </w:rPr>
        <w:t xml:space="preserve"> we provide </w:t>
      </w:r>
      <w:r>
        <w:rPr>
          <w:sz w:val="22"/>
        </w:rPr>
        <w:t xml:space="preserve">simulation results for RSRQ and propose </w:t>
      </w:r>
      <w:r w:rsidR="00115B7C">
        <w:rPr>
          <w:sz w:val="22"/>
        </w:rPr>
        <w:t xml:space="preserve">RSRP and RSRQ </w:t>
      </w:r>
      <w:r>
        <w:rPr>
          <w:sz w:val="22"/>
        </w:rPr>
        <w:t xml:space="preserve">measurement accuracy requirements for the </w:t>
      </w:r>
      <w:r w:rsidR="00115B7C">
        <w:rPr>
          <w:sz w:val="22"/>
        </w:rPr>
        <w:t>cases above for normal conditions and, where applicable, low Io range.</w:t>
      </w:r>
    </w:p>
    <w:p w:rsidR="00F5395E" w:rsidRDefault="003E47E0" w:rsidP="006A277D">
      <w:pPr>
        <w:pStyle w:val="Heading1"/>
        <w:rPr>
          <w:lang w:val="en-CA"/>
        </w:rPr>
      </w:pPr>
      <w:r>
        <w:rPr>
          <w:lang w:val="en-CA"/>
        </w:rPr>
        <w:t xml:space="preserve">RSRQ </w:t>
      </w:r>
      <w:r w:rsidR="00865E50" w:rsidRPr="00862C73">
        <w:rPr>
          <w:lang w:val="en-CA"/>
        </w:rPr>
        <w:t>Simulation results</w:t>
      </w:r>
    </w:p>
    <w:p w:rsidR="00064071" w:rsidRPr="00064071" w:rsidRDefault="00064071" w:rsidP="00064071">
      <w:pPr>
        <w:rPr>
          <w:sz w:val="22"/>
          <w:lang w:val="en-CA"/>
        </w:rPr>
      </w:pPr>
      <w:r w:rsidRPr="00064071">
        <w:rPr>
          <w:sz w:val="22"/>
          <w:lang w:val="en-CA"/>
        </w:rPr>
        <w:t>The simulation assumptions, methodology, and result</w:t>
      </w:r>
      <w:r>
        <w:rPr>
          <w:sz w:val="22"/>
          <w:lang w:val="en-CA"/>
        </w:rPr>
        <w:t>s are provided in Appendix. The largest deviations of the 5</w:t>
      </w:r>
      <w:r w:rsidRPr="00064071">
        <w:rPr>
          <w:sz w:val="22"/>
          <w:vertAlign w:val="superscript"/>
          <w:lang w:val="en-CA"/>
        </w:rPr>
        <w:t>th</w:t>
      </w:r>
      <w:r>
        <w:rPr>
          <w:sz w:val="22"/>
          <w:lang w:val="en-CA"/>
        </w:rPr>
        <w:t xml:space="preserve"> and 95</w:t>
      </w:r>
      <w:r w:rsidRPr="00064071">
        <w:rPr>
          <w:sz w:val="22"/>
          <w:vertAlign w:val="superscript"/>
          <w:lang w:val="en-CA"/>
        </w:rPr>
        <w:t>th</w:t>
      </w:r>
      <w:r>
        <w:rPr>
          <w:sz w:val="22"/>
          <w:lang w:val="en-CA"/>
        </w:rPr>
        <w:t xml:space="preserve"> percentiles from the ideal RSRQ are captured in </w:t>
      </w:r>
      <w:r>
        <w:rPr>
          <w:sz w:val="22"/>
          <w:lang w:val="en-CA"/>
        </w:rPr>
        <w:fldChar w:fldCharType="begin"/>
      </w:r>
      <w:r>
        <w:rPr>
          <w:sz w:val="22"/>
          <w:lang w:val="en-CA"/>
        </w:rPr>
        <w:instrText xml:space="preserve"> REF _Ref490042229 \h </w:instrText>
      </w:r>
      <w:r>
        <w:rPr>
          <w:sz w:val="22"/>
          <w:lang w:val="en-CA"/>
        </w:rPr>
      </w:r>
      <w:r>
        <w:rPr>
          <w:sz w:val="22"/>
          <w:lang w:val="en-CA"/>
        </w:rPr>
        <w:fldChar w:fldCharType="separate"/>
      </w:r>
      <w:r w:rsidRPr="00064071">
        <w:rPr>
          <w:lang w:val="en-US"/>
        </w:rPr>
        <w:t xml:space="preserve">Table </w:t>
      </w:r>
      <w:r>
        <w:rPr>
          <w:noProof/>
          <w:lang w:val="en-US"/>
        </w:rPr>
        <w:t>1</w:t>
      </w:r>
      <w:r>
        <w:rPr>
          <w:sz w:val="22"/>
          <w:lang w:val="en-CA"/>
        </w:rPr>
        <w:fldChar w:fldCharType="end"/>
      </w:r>
      <w:r>
        <w:rPr>
          <w:sz w:val="22"/>
          <w:lang w:val="en-CA"/>
        </w:rPr>
        <w:t xml:space="preserve"> and </w:t>
      </w:r>
      <w:r>
        <w:rPr>
          <w:sz w:val="22"/>
          <w:lang w:val="en-CA"/>
        </w:rPr>
        <w:fldChar w:fldCharType="begin"/>
      </w:r>
      <w:r>
        <w:rPr>
          <w:sz w:val="22"/>
          <w:lang w:val="en-CA"/>
        </w:rPr>
        <w:instrText xml:space="preserve"> REF _Ref490042231 \h </w:instrText>
      </w:r>
      <w:r>
        <w:rPr>
          <w:sz w:val="22"/>
          <w:lang w:val="en-CA"/>
        </w:rPr>
      </w:r>
      <w:r>
        <w:rPr>
          <w:sz w:val="22"/>
          <w:lang w:val="en-CA"/>
        </w:rPr>
        <w:fldChar w:fldCharType="separate"/>
      </w:r>
      <w:r w:rsidRPr="00064071">
        <w:rPr>
          <w:lang w:val="en-US"/>
        </w:rPr>
        <w:t xml:space="preserve">Table </w:t>
      </w:r>
      <w:r w:rsidRPr="00064071">
        <w:rPr>
          <w:noProof/>
          <w:lang w:val="en-US"/>
        </w:rPr>
        <w:t>2</w:t>
      </w:r>
      <w:r>
        <w:rPr>
          <w:sz w:val="22"/>
          <w:lang w:val="en-CA"/>
        </w:rPr>
        <w:fldChar w:fldCharType="end"/>
      </w:r>
      <w:r>
        <w:rPr>
          <w:sz w:val="22"/>
          <w:lang w:val="en-CA"/>
        </w:rPr>
        <w:t xml:space="preserve"> for CE Mode A and CE Mode B, respectively.</w:t>
      </w:r>
    </w:p>
    <w:p w:rsidR="0001606F" w:rsidRDefault="0001606F" w:rsidP="0001606F">
      <w:pPr>
        <w:rPr>
          <w:lang w:val="en-CA"/>
        </w:rPr>
      </w:pPr>
    </w:p>
    <w:p w:rsidR="00064071" w:rsidRPr="00064071" w:rsidRDefault="00064071" w:rsidP="00064071">
      <w:pPr>
        <w:pStyle w:val="Caption"/>
        <w:keepNext/>
        <w:rPr>
          <w:lang w:val="en-US"/>
        </w:rPr>
      </w:pPr>
      <w:bookmarkStart w:id="2" w:name="_Ref490042229"/>
      <w:r w:rsidRPr="00064071">
        <w:rPr>
          <w:lang w:val="en-US"/>
        </w:rPr>
        <w:t xml:space="preserve">Table </w:t>
      </w:r>
      <w:r>
        <w:fldChar w:fldCharType="begin"/>
      </w:r>
      <w:r w:rsidRPr="00064071">
        <w:rPr>
          <w:lang w:val="en-US"/>
        </w:rPr>
        <w:instrText xml:space="preserve"> SEQ Table \* ARABIC </w:instrText>
      </w:r>
      <w:r>
        <w:fldChar w:fldCharType="separate"/>
      </w:r>
      <w:r>
        <w:rPr>
          <w:noProof/>
          <w:lang w:val="en-US"/>
        </w:rPr>
        <w:t>1</w:t>
      </w:r>
      <w:r>
        <w:fldChar w:fldCharType="end"/>
      </w:r>
      <w:bookmarkEnd w:id="2"/>
      <w:r>
        <w:rPr>
          <w:lang w:val="en-US"/>
        </w:rPr>
        <w:t>: RSRQ s</w:t>
      </w:r>
      <w:r w:rsidRPr="00064071">
        <w:rPr>
          <w:lang w:val="en-US"/>
        </w:rPr>
        <w:t>imulation results for CE Mode A</w:t>
      </w:r>
    </w:p>
    <w:tbl>
      <w:tblPr>
        <w:tblStyle w:val="TableGrid"/>
        <w:tblW w:w="0" w:type="auto"/>
        <w:tblLook w:val="04A0" w:firstRow="1" w:lastRow="0" w:firstColumn="1" w:lastColumn="0" w:noHBand="0" w:noVBand="1"/>
      </w:tblPr>
      <w:tblGrid>
        <w:gridCol w:w="2407"/>
        <w:gridCol w:w="2407"/>
        <w:gridCol w:w="2407"/>
      </w:tblGrid>
      <w:tr w:rsidR="00EA7325" w:rsidTr="00BE172D">
        <w:tc>
          <w:tcPr>
            <w:tcW w:w="2407" w:type="dxa"/>
          </w:tcPr>
          <w:p w:rsidR="00EA7325" w:rsidRDefault="00EA7325" w:rsidP="00BE172D">
            <w:pPr>
              <w:rPr>
                <w:lang w:val="en-CA"/>
              </w:rPr>
            </w:pPr>
          </w:p>
        </w:tc>
        <w:tc>
          <w:tcPr>
            <w:tcW w:w="4814" w:type="dxa"/>
            <w:gridSpan w:val="2"/>
          </w:tcPr>
          <w:p w:rsidR="00EA7325" w:rsidRPr="00A37A7F" w:rsidRDefault="00EA7325" w:rsidP="00BE172D">
            <w:pPr>
              <w:jc w:val="center"/>
              <w:rPr>
                <w:b/>
                <w:lang w:val="en-CA"/>
              </w:rPr>
            </w:pPr>
            <w:r>
              <w:rPr>
                <w:b/>
                <w:lang w:val="en-CA"/>
              </w:rPr>
              <w:t>RSRQ Maximum deviation ±[dB]</w:t>
            </w:r>
          </w:p>
        </w:tc>
      </w:tr>
      <w:tr w:rsidR="00EA7325" w:rsidTr="00BE172D">
        <w:tc>
          <w:tcPr>
            <w:tcW w:w="2407" w:type="dxa"/>
          </w:tcPr>
          <w:p w:rsidR="00EA7325" w:rsidRDefault="00EA7325" w:rsidP="00BE172D">
            <w:pPr>
              <w:rPr>
                <w:lang w:val="en-CA"/>
              </w:rPr>
            </w:pPr>
          </w:p>
        </w:tc>
        <w:tc>
          <w:tcPr>
            <w:tcW w:w="4814" w:type="dxa"/>
            <w:gridSpan w:val="2"/>
          </w:tcPr>
          <w:p w:rsidR="00EA7325" w:rsidRPr="00A37A7F" w:rsidRDefault="00EA7325" w:rsidP="00BE172D">
            <w:pPr>
              <w:jc w:val="center"/>
              <w:rPr>
                <w:b/>
                <w:lang w:val="en-CA"/>
              </w:rPr>
            </w:pPr>
            <w:r w:rsidRPr="00A37A7F">
              <w:rPr>
                <w:b/>
                <w:lang w:val="en-CA"/>
              </w:rPr>
              <w:t>SINR range [dB]</w:t>
            </w:r>
          </w:p>
        </w:tc>
      </w:tr>
      <w:tr w:rsidR="00EA7325" w:rsidTr="00BE172D">
        <w:tc>
          <w:tcPr>
            <w:tcW w:w="2407" w:type="dxa"/>
          </w:tcPr>
          <w:p w:rsidR="00EA7325" w:rsidRDefault="00EA7325" w:rsidP="00BE172D">
            <w:pPr>
              <w:rPr>
                <w:lang w:val="en-CA"/>
              </w:rPr>
            </w:pPr>
          </w:p>
        </w:tc>
        <w:tc>
          <w:tcPr>
            <w:tcW w:w="2407" w:type="dxa"/>
          </w:tcPr>
          <w:p w:rsidR="00EA7325" w:rsidRPr="00A37A7F" w:rsidRDefault="00EA7325" w:rsidP="00BE172D">
            <w:pPr>
              <w:jc w:val="center"/>
              <w:rPr>
                <w:b/>
                <w:lang w:val="en-CA"/>
              </w:rPr>
            </w:pPr>
            <w:r>
              <w:rPr>
                <w:b/>
                <w:lang w:val="en-CA"/>
              </w:rPr>
              <w:t>-6</w:t>
            </w:r>
            <w:r w:rsidRPr="00A37A7F">
              <w:rPr>
                <w:b/>
                <w:lang w:val="en-CA"/>
              </w:rPr>
              <w:t xml:space="preserve"> ≤ Es/Iot </w:t>
            </w:r>
            <w:r>
              <w:rPr>
                <w:b/>
                <w:lang w:val="en-CA"/>
              </w:rPr>
              <w:t>&lt;</w:t>
            </w:r>
            <w:r w:rsidRPr="00A37A7F">
              <w:rPr>
                <w:b/>
                <w:lang w:val="en-CA"/>
              </w:rPr>
              <w:t xml:space="preserve"> </w:t>
            </w:r>
            <w:r>
              <w:rPr>
                <w:b/>
                <w:lang w:val="en-CA"/>
              </w:rPr>
              <w:t>-3</w:t>
            </w:r>
          </w:p>
        </w:tc>
        <w:tc>
          <w:tcPr>
            <w:tcW w:w="2407" w:type="dxa"/>
          </w:tcPr>
          <w:p w:rsidR="00EA7325" w:rsidRPr="00A37A7F" w:rsidRDefault="00EA7325" w:rsidP="00BE172D">
            <w:pPr>
              <w:jc w:val="center"/>
              <w:rPr>
                <w:b/>
                <w:lang w:val="en-CA"/>
              </w:rPr>
            </w:pPr>
            <w:r>
              <w:rPr>
                <w:b/>
                <w:lang w:val="en-CA"/>
              </w:rPr>
              <w:t xml:space="preserve">-3 </w:t>
            </w:r>
            <w:r w:rsidRPr="00A37A7F">
              <w:rPr>
                <w:b/>
                <w:lang w:val="en-CA"/>
              </w:rPr>
              <w:t>≤</w:t>
            </w:r>
            <w:r>
              <w:rPr>
                <w:b/>
                <w:lang w:val="en-CA"/>
              </w:rPr>
              <w:t xml:space="preserve"> Es/Iot</w:t>
            </w:r>
          </w:p>
        </w:tc>
      </w:tr>
      <w:tr w:rsidR="00EA7325" w:rsidTr="00BE172D">
        <w:tc>
          <w:tcPr>
            <w:tcW w:w="2407" w:type="dxa"/>
          </w:tcPr>
          <w:p w:rsidR="00EA7325" w:rsidRDefault="00EA7325" w:rsidP="00BE172D">
            <w:pPr>
              <w:rPr>
                <w:lang w:val="en-CA"/>
              </w:rPr>
            </w:pPr>
            <w:r>
              <w:rPr>
                <w:lang w:val="en-CA"/>
              </w:rPr>
              <w:t>AWGN</w:t>
            </w:r>
          </w:p>
        </w:tc>
        <w:tc>
          <w:tcPr>
            <w:tcW w:w="2407" w:type="dxa"/>
          </w:tcPr>
          <w:p w:rsidR="00EA7325" w:rsidRDefault="00CE416F" w:rsidP="00BE172D">
            <w:pPr>
              <w:jc w:val="center"/>
              <w:rPr>
                <w:lang w:val="en-CA"/>
              </w:rPr>
            </w:pPr>
            <w:r>
              <w:rPr>
                <w:lang w:val="en-CA"/>
              </w:rPr>
              <w:t>0.6</w:t>
            </w:r>
          </w:p>
        </w:tc>
        <w:tc>
          <w:tcPr>
            <w:tcW w:w="2407" w:type="dxa"/>
          </w:tcPr>
          <w:p w:rsidR="00EA7325" w:rsidRDefault="00CE416F" w:rsidP="00BE172D">
            <w:pPr>
              <w:jc w:val="center"/>
              <w:rPr>
                <w:lang w:val="en-CA"/>
              </w:rPr>
            </w:pPr>
            <w:r>
              <w:rPr>
                <w:lang w:val="en-CA"/>
              </w:rPr>
              <w:t>0.5</w:t>
            </w:r>
          </w:p>
        </w:tc>
      </w:tr>
      <w:tr w:rsidR="00EA7325" w:rsidTr="00BE172D">
        <w:tc>
          <w:tcPr>
            <w:tcW w:w="2407" w:type="dxa"/>
          </w:tcPr>
          <w:p w:rsidR="00EA7325" w:rsidRDefault="00EA7325" w:rsidP="00BE172D">
            <w:pPr>
              <w:rPr>
                <w:lang w:val="en-CA"/>
              </w:rPr>
            </w:pPr>
            <w:r>
              <w:rPr>
                <w:lang w:val="en-CA"/>
              </w:rPr>
              <w:t>ETU30</w:t>
            </w:r>
          </w:p>
        </w:tc>
        <w:tc>
          <w:tcPr>
            <w:tcW w:w="2407" w:type="dxa"/>
          </w:tcPr>
          <w:p w:rsidR="00EA7325" w:rsidRDefault="00433946" w:rsidP="00BE172D">
            <w:pPr>
              <w:jc w:val="center"/>
              <w:rPr>
                <w:lang w:val="en-CA"/>
              </w:rPr>
            </w:pPr>
            <w:r>
              <w:rPr>
                <w:lang w:val="en-CA"/>
              </w:rPr>
              <w:t>3.6</w:t>
            </w:r>
          </w:p>
        </w:tc>
        <w:tc>
          <w:tcPr>
            <w:tcW w:w="2407" w:type="dxa"/>
          </w:tcPr>
          <w:p w:rsidR="00EA7325" w:rsidRDefault="00433946" w:rsidP="00BE172D">
            <w:pPr>
              <w:jc w:val="center"/>
              <w:rPr>
                <w:lang w:val="en-CA"/>
              </w:rPr>
            </w:pPr>
            <w:r>
              <w:rPr>
                <w:lang w:val="en-CA"/>
              </w:rPr>
              <w:t>3.4</w:t>
            </w:r>
          </w:p>
        </w:tc>
      </w:tr>
      <w:tr w:rsidR="00EA7325" w:rsidTr="00BE172D">
        <w:tc>
          <w:tcPr>
            <w:tcW w:w="2407" w:type="dxa"/>
          </w:tcPr>
          <w:p w:rsidR="00EA7325" w:rsidRDefault="00EA7325" w:rsidP="00BE172D">
            <w:pPr>
              <w:rPr>
                <w:lang w:val="en-CA"/>
              </w:rPr>
            </w:pPr>
            <w:r>
              <w:rPr>
                <w:lang w:val="en-CA"/>
              </w:rPr>
              <w:t>EPA5</w:t>
            </w:r>
          </w:p>
        </w:tc>
        <w:tc>
          <w:tcPr>
            <w:tcW w:w="2407" w:type="dxa"/>
          </w:tcPr>
          <w:p w:rsidR="00EA7325" w:rsidRDefault="005F7AE4" w:rsidP="00BE172D">
            <w:pPr>
              <w:jc w:val="center"/>
              <w:rPr>
                <w:lang w:val="en-CA"/>
              </w:rPr>
            </w:pPr>
            <w:r>
              <w:rPr>
                <w:lang w:val="en-CA"/>
              </w:rPr>
              <w:t>2.2</w:t>
            </w:r>
          </w:p>
        </w:tc>
        <w:tc>
          <w:tcPr>
            <w:tcW w:w="2407" w:type="dxa"/>
          </w:tcPr>
          <w:p w:rsidR="00EA7325" w:rsidRDefault="005F7AE4" w:rsidP="00BE172D">
            <w:pPr>
              <w:jc w:val="center"/>
              <w:rPr>
                <w:lang w:val="en-CA"/>
              </w:rPr>
            </w:pPr>
            <w:r>
              <w:rPr>
                <w:lang w:val="en-CA"/>
              </w:rPr>
              <w:t>1.9</w:t>
            </w:r>
          </w:p>
        </w:tc>
      </w:tr>
      <w:tr w:rsidR="00EA7325" w:rsidTr="00BE172D">
        <w:tc>
          <w:tcPr>
            <w:tcW w:w="2407" w:type="dxa"/>
          </w:tcPr>
          <w:p w:rsidR="00EA7325" w:rsidRPr="0001606F" w:rsidRDefault="002D06CA" w:rsidP="00BE172D">
            <w:pPr>
              <w:rPr>
                <w:b/>
                <w:lang w:val="en-CA"/>
              </w:rPr>
            </w:pPr>
            <w:r>
              <w:rPr>
                <w:b/>
                <w:lang w:val="en-CA"/>
              </w:rPr>
              <w:t>Largest deviation</w:t>
            </w:r>
          </w:p>
        </w:tc>
        <w:tc>
          <w:tcPr>
            <w:tcW w:w="2407" w:type="dxa"/>
          </w:tcPr>
          <w:p w:rsidR="00EA7325" w:rsidRPr="0001606F" w:rsidRDefault="002D06CA" w:rsidP="00E42319">
            <w:pPr>
              <w:jc w:val="center"/>
              <w:rPr>
                <w:b/>
                <w:lang w:val="en-CA"/>
              </w:rPr>
            </w:pPr>
            <w:r>
              <w:rPr>
                <w:b/>
                <w:lang w:val="en-CA"/>
              </w:rPr>
              <w:t>3.6</w:t>
            </w:r>
          </w:p>
        </w:tc>
        <w:tc>
          <w:tcPr>
            <w:tcW w:w="2407" w:type="dxa"/>
          </w:tcPr>
          <w:p w:rsidR="00EA7325" w:rsidRPr="0001606F" w:rsidRDefault="002D06CA" w:rsidP="00E42319">
            <w:pPr>
              <w:jc w:val="center"/>
              <w:rPr>
                <w:b/>
                <w:lang w:val="en-CA"/>
              </w:rPr>
            </w:pPr>
            <w:r>
              <w:rPr>
                <w:b/>
                <w:lang w:val="en-CA"/>
              </w:rPr>
              <w:t>3.4</w:t>
            </w:r>
          </w:p>
        </w:tc>
      </w:tr>
    </w:tbl>
    <w:p w:rsidR="00EA7325" w:rsidRPr="0001606F" w:rsidRDefault="00EA7325" w:rsidP="0001606F">
      <w:pPr>
        <w:rPr>
          <w:lang w:val="en-CA"/>
        </w:rPr>
      </w:pPr>
    </w:p>
    <w:p w:rsidR="00A37A7F" w:rsidRPr="00A37A7F" w:rsidRDefault="00A37A7F" w:rsidP="00A37A7F">
      <w:pPr>
        <w:rPr>
          <w:lang w:val="en-CA"/>
        </w:rPr>
      </w:pPr>
    </w:p>
    <w:p w:rsidR="00064071" w:rsidRPr="00064071" w:rsidRDefault="00064071" w:rsidP="00064071">
      <w:pPr>
        <w:pStyle w:val="Caption"/>
        <w:keepNext/>
        <w:rPr>
          <w:lang w:val="en-US"/>
        </w:rPr>
      </w:pPr>
      <w:bookmarkStart w:id="3" w:name="_Ref490042231"/>
      <w:r w:rsidRPr="00064071">
        <w:rPr>
          <w:lang w:val="en-US"/>
        </w:rPr>
        <w:t xml:space="preserve">Table </w:t>
      </w:r>
      <w:r>
        <w:fldChar w:fldCharType="begin"/>
      </w:r>
      <w:r w:rsidRPr="00064071">
        <w:rPr>
          <w:lang w:val="en-US"/>
        </w:rPr>
        <w:instrText xml:space="preserve"> SEQ Table \* ARABIC </w:instrText>
      </w:r>
      <w:r>
        <w:fldChar w:fldCharType="separate"/>
      </w:r>
      <w:r w:rsidRPr="00064071">
        <w:rPr>
          <w:noProof/>
          <w:lang w:val="en-US"/>
        </w:rPr>
        <w:t>2</w:t>
      </w:r>
      <w:r>
        <w:fldChar w:fldCharType="end"/>
      </w:r>
      <w:bookmarkEnd w:id="3"/>
      <w:r w:rsidRPr="00064071">
        <w:rPr>
          <w:lang w:val="en-US"/>
        </w:rPr>
        <w:t>: RSRQ simulation results for CE Mode B</w:t>
      </w:r>
    </w:p>
    <w:tbl>
      <w:tblPr>
        <w:tblStyle w:val="TableGrid"/>
        <w:tblW w:w="0" w:type="auto"/>
        <w:tblLook w:val="04A0" w:firstRow="1" w:lastRow="0" w:firstColumn="1" w:lastColumn="0" w:noHBand="0" w:noVBand="1"/>
      </w:tblPr>
      <w:tblGrid>
        <w:gridCol w:w="2407"/>
        <w:gridCol w:w="2407"/>
        <w:gridCol w:w="2407"/>
      </w:tblGrid>
      <w:tr w:rsidR="00817D11" w:rsidTr="00BE172D">
        <w:tc>
          <w:tcPr>
            <w:tcW w:w="2407" w:type="dxa"/>
          </w:tcPr>
          <w:p w:rsidR="00817D11" w:rsidRDefault="00817D11" w:rsidP="00BE172D">
            <w:pPr>
              <w:rPr>
                <w:lang w:val="en-CA"/>
              </w:rPr>
            </w:pPr>
          </w:p>
        </w:tc>
        <w:tc>
          <w:tcPr>
            <w:tcW w:w="4814" w:type="dxa"/>
            <w:gridSpan w:val="2"/>
          </w:tcPr>
          <w:p w:rsidR="00817D11" w:rsidRPr="00A37A7F" w:rsidRDefault="00817D11" w:rsidP="00BE172D">
            <w:pPr>
              <w:jc w:val="center"/>
              <w:rPr>
                <w:b/>
                <w:lang w:val="en-CA"/>
              </w:rPr>
            </w:pPr>
            <w:r>
              <w:rPr>
                <w:b/>
                <w:lang w:val="en-CA"/>
              </w:rPr>
              <w:t>RSRQ Maximum deviation ±[dB]</w:t>
            </w:r>
          </w:p>
        </w:tc>
      </w:tr>
      <w:tr w:rsidR="00817D11" w:rsidTr="00BE172D">
        <w:tc>
          <w:tcPr>
            <w:tcW w:w="2407" w:type="dxa"/>
          </w:tcPr>
          <w:p w:rsidR="00817D11" w:rsidRDefault="00817D11" w:rsidP="00BE172D">
            <w:pPr>
              <w:rPr>
                <w:lang w:val="en-CA"/>
              </w:rPr>
            </w:pPr>
          </w:p>
        </w:tc>
        <w:tc>
          <w:tcPr>
            <w:tcW w:w="4814" w:type="dxa"/>
            <w:gridSpan w:val="2"/>
          </w:tcPr>
          <w:p w:rsidR="00817D11" w:rsidRPr="00A37A7F" w:rsidRDefault="00817D11" w:rsidP="00BE172D">
            <w:pPr>
              <w:jc w:val="center"/>
              <w:rPr>
                <w:b/>
                <w:lang w:val="en-CA"/>
              </w:rPr>
            </w:pPr>
            <w:r w:rsidRPr="00A37A7F">
              <w:rPr>
                <w:b/>
                <w:lang w:val="en-CA"/>
              </w:rPr>
              <w:t>SINR range [dB]</w:t>
            </w:r>
          </w:p>
        </w:tc>
      </w:tr>
      <w:tr w:rsidR="00817D11" w:rsidTr="00BE172D">
        <w:tc>
          <w:tcPr>
            <w:tcW w:w="2407" w:type="dxa"/>
          </w:tcPr>
          <w:p w:rsidR="00817D11" w:rsidRDefault="00817D11" w:rsidP="00BE172D">
            <w:pPr>
              <w:rPr>
                <w:lang w:val="en-CA"/>
              </w:rPr>
            </w:pPr>
          </w:p>
        </w:tc>
        <w:tc>
          <w:tcPr>
            <w:tcW w:w="2407" w:type="dxa"/>
          </w:tcPr>
          <w:p w:rsidR="00817D11" w:rsidRPr="00A37A7F" w:rsidRDefault="00817D11" w:rsidP="00BE172D">
            <w:pPr>
              <w:jc w:val="center"/>
              <w:rPr>
                <w:b/>
                <w:lang w:val="en-CA"/>
              </w:rPr>
            </w:pPr>
            <w:r w:rsidRPr="00A37A7F">
              <w:rPr>
                <w:b/>
                <w:lang w:val="en-CA"/>
              </w:rPr>
              <w:t xml:space="preserve">-15 </w:t>
            </w:r>
            <w:r w:rsidR="00C971AE" w:rsidRPr="00A37A7F">
              <w:rPr>
                <w:b/>
                <w:lang w:val="en-CA"/>
              </w:rPr>
              <w:t>≤</w:t>
            </w:r>
            <w:r w:rsidRPr="00A37A7F">
              <w:rPr>
                <w:b/>
                <w:lang w:val="en-CA"/>
              </w:rPr>
              <w:t xml:space="preserve"> Es/Iot </w:t>
            </w:r>
            <w:r w:rsidR="00C971AE">
              <w:rPr>
                <w:b/>
                <w:lang w:val="en-CA"/>
              </w:rPr>
              <w:t>&lt;</w:t>
            </w:r>
            <w:r w:rsidRPr="00A37A7F">
              <w:rPr>
                <w:b/>
                <w:lang w:val="en-CA"/>
              </w:rPr>
              <w:t xml:space="preserve"> -12</w:t>
            </w:r>
          </w:p>
        </w:tc>
        <w:tc>
          <w:tcPr>
            <w:tcW w:w="2407" w:type="dxa"/>
          </w:tcPr>
          <w:p w:rsidR="00817D11" w:rsidRPr="00A37A7F" w:rsidRDefault="00C971AE" w:rsidP="00BE172D">
            <w:pPr>
              <w:jc w:val="center"/>
              <w:rPr>
                <w:b/>
                <w:lang w:val="en-CA"/>
              </w:rPr>
            </w:pPr>
            <w:r>
              <w:rPr>
                <w:b/>
                <w:lang w:val="en-CA"/>
              </w:rPr>
              <w:t xml:space="preserve">-12 </w:t>
            </w:r>
            <w:r w:rsidRPr="00A37A7F">
              <w:rPr>
                <w:b/>
                <w:lang w:val="en-CA"/>
              </w:rPr>
              <w:t>≤</w:t>
            </w:r>
            <w:r w:rsidR="00817D11" w:rsidRPr="00A37A7F">
              <w:rPr>
                <w:b/>
                <w:lang w:val="en-CA"/>
              </w:rPr>
              <w:t xml:space="preserve"> Es/Iot </w:t>
            </w:r>
            <w:r>
              <w:rPr>
                <w:b/>
                <w:lang w:val="en-CA"/>
              </w:rPr>
              <w:t>&lt;</w:t>
            </w:r>
            <w:r w:rsidR="00817D11" w:rsidRPr="00A37A7F">
              <w:rPr>
                <w:b/>
                <w:lang w:val="en-CA"/>
              </w:rPr>
              <w:t xml:space="preserve"> -6</w:t>
            </w:r>
          </w:p>
        </w:tc>
      </w:tr>
      <w:tr w:rsidR="00817D11" w:rsidTr="00BE172D">
        <w:tc>
          <w:tcPr>
            <w:tcW w:w="2407" w:type="dxa"/>
          </w:tcPr>
          <w:p w:rsidR="00817D11" w:rsidRDefault="00817D11" w:rsidP="00BE172D">
            <w:pPr>
              <w:rPr>
                <w:lang w:val="en-CA"/>
              </w:rPr>
            </w:pPr>
            <w:r>
              <w:rPr>
                <w:lang w:val="en-CA"/>
              </w:rPr>
              <w:t>AWGN</w:t>
            </w:r>
          </w:p>
        </w:tc>
        <w:tc>
          <w:tcPr>
            <w:tcW w:w="2407" w:type="dxa"/>
          </w:tcPr>
          <w:p w:rsidR="00817D11" w:rsidRDefault="007B0AB6" w:rsidP="00BE172D">
            <w:pPr>
              <w:jc w:val="center"/>
              <w:rPr>
                <w:lang w:val="en-CA"/>
              </w:rPr>
            </w:pPr>
            <w:r>
              <w:rPr>
                <w:lang w:val="en-CA"/>
              </w:rPr>
              <w:t>2.2</w:t>
            </w:r>
          </w:p>
        </w:tc>
        <w:tc>
          <w:tcPr>
            <w:tcW w:w="2407" w:type="dxa"/>
          </w:tcPr>
          <w:p w:rsidR="00817D11" w:rsidRDefault="007B0AB6" w:rsidP="00BE172D">
            <w:pPr>
              <w:jc w:val="center"/>
              <w:rPr>
                <w:lang w:val="en-CA"/>
              </w:rPr>
            </w:pPr>
            <w:r>
              <w:rPr>
                <w:lang w:val="en-CA"/>
              </w:rPr>
              <w:t>1.3</w:t>
            </w:r>
          </w:p>
        </w:tc>
      </w:tr>
      <w:tr w:rsidR="00817D11" w:rsidTr="00BE172D">
        <w:tc>
          <w:tcPr>
            <w:tcW w:w="2407" w:type="dxa"/>
          </w:tcPr>
          <w:p w:rsidR="00817D11" w:rsidRDefault="00817D11" w:rsidP="00BE172D">
            <w:pPr>
              <w:rPr>
                <w:lang w:val="en-CA"/>
              </w:rPr>
            </w:pPr>
            <w:r>
              <w:rPr>
                <w:lang w:val="en-CA"/>
              </w:rPr>
              <w:t>ETU1</w:t>
            </w:r>
          </w:p>
        </w:tc>
        <w:tc>
          <w:tcPr>
            <w:tcW w:w="2407" w:type="dxa"/>
          </w:tcPr>
          <w:p w:rsidR="00817D11" w:rsidRDefault="007B0AB6" w:rsidP="00BE172D">
            <w:pPr>
              <w:jc w:val="center"/>
              <w:rPr>
                <w:lang w:val="en-CA"/>
              </w:rPr>
            </w:pPr>
            <w:r>
              <w:rPr>
                <w:lang w:val="en-CA"/>
              </w:rPr>
              <w:t>4.1</w:t>
            </w:r>
          </w:p>
        </w:tc>
        <w:tc>
          <w:tcPr>
            <w:tcW w:w="2407" w:type="dxa"/>
          </w:tcPr>
          <w:p w:rsidR="00817D11" w:rsidRDefault="007B0AB6" w:rsidP="00BE172D">
            <w:pPr>
              <w:jc w:val="center"/>
              <w:rPr>
                <w:lang w:val="en-CA"/>
              </w:rPr>
            </w:pPr>
            <w:r>
              <w:rPr>
                <w:lang w:val="en-CA"/>
              </w:rPr>
              <w:t>5.0</w:t>
            </w:r>
          </w:p>
        </w:tc>
      </w:tr>
      <w:tr w:rsidR="00817D11" w:rsidTr="00BE172D">
        <w:tc>
          <w:tcPr>
            <w:tcW w:w="2407" w:type="dxa"/>
          </w:tcPr>
          <w:p w:rsidR="00817D11" w:rsidRDefault="00817D11" w:rsidP="00BE172D">
            <w:pPr>
              <w:rPr>
                <w:lang w:val="en-CA"/>
              </w:rPr>
            </w:pPr>
            <w:r>
              <w:rPr>
                <w:lang w:val="en-CA"/>
              </w:rPr>
              <w:t>EPA1</w:t>
            </w:r>
          </w:p>
        </w:tc>
        <w:tc>
          <w:tcPr>
            <w:tcW w:w="2407" w:type="dxa"/>
          </w:tcPr>
          <w:p w:rsidR="00817D11" w:rsidRDefault="007B0AB6" w:rsidP="00BE172D">
            <w:pPr>
              <w:jc w:val="center"/>
              <w:rPr>
                <w:lang w:val="en-CA"/>
              </w:rPr>
            </w:pPr>
            <w:r>
              <w:rPr>
                <w:lang w:val="en-CA"/>
              </w:rPr>
              <w:t>3.2</w:t>
            </w:r>
          </w:p>
        </w:tc>
        <w:tc>
          <w:tcPr>
            <w:tcW w:w="2407" w:type="dxa"/>
          </w:tcPr>
          <w:p w:rsidR="00817D11" w:rsidRDefault="007B0AB6" w:rsidP="00BE172D">
            <w:pPr>
              <w:jc w:val="center"/>
              <w:rPr>
                <w:lang w:val="en-CA"/>
              </w:rPr>
            </w:pPr>
            <w:r>
              <w:rPr>
                <w:lang w:val="en-CA"/>
              </w:rPr>
              <w:t>3.8</w:t>
            </w:r>
          </w:p>
        </w:tc>
      </w:tr>
      <w:tr w:rsidR="00817D11" w:rsidTr="00BE172D">
        <w:tc>
          <w:tcPr>
            <w:tcW w:w="2407" w:type="dxa"/>
          </w:tcPr>
          <w:p w:rsidR="00817D11" w:rsidRPr="0001606F" w:rsidRDefault="003D1DBF" w:rsidP="00BE172D">
            <w:pPr>
              <w:rPr>
                <w:b/>
                <w:lang w:val="en-CA"/>
              </w:rPr>
            </w:pPr>
            <w:r>
              <w:rPr>
                <w:b/>
                <w:lang w:val="en-CA"/>
              </w:rPr>
              <w:t>Largest deviation</w:t>
            </w:r>
          </w:p>
        </w:tc>
        <w:tc>
          <w:tcPr>
            <w:tcW w:w="2407" w:type="dxa"/>
          </w:tcPr>
          <w:p w:rsidR="00817D11" w:rsidRPr="0001606F" w:rsidRDefault="007B0AB6" w:rsidP="00BE172D">
            <w:pPr>
              <w:jc w:val="center"/>
              <w:rPr>
                <w:b/>
                <w:lang w:val="en-CA"/>
              </w:rPr>
            </w:pPr>
            <w:r>
              <w:rPr>
                <w:b/>
                <w:lang w:val="en-CA"/>
              </w:rPr>
              <w:t>4.1</w:t>
            </w:r>
          </w:p>
        </w:tc>
        <w:tc>
          <w:tcPr>
            <w:tcW w:w="2407" w:type="dxa"/>
          </w:tcPr>
          <w:p w:rsidR="00817D11" w:rsidRPr="0001606F" w:rsidRDefault="007B0AB6" w:rsidP="00BE172D">
            <w:pPr>
              <w:jc w:val="center"/>
              <w:rPr>
                <w:b/>
                <w:lang w:val="en-CA"/>
              </w:rPr>
            </w:pPr>
            <w:r>
              <w:rPr>
                <w:b/>
                <w:lang w:val="en-CA"/>
              </w:rPr>
              <w:t>5.0</w:t>
            </w:r>
          </w:p>
        </w:tc>
      </w:tr>
    </w:tbl>
    <w:p w:rsidR="00A37A7F" w:rsidRDefault="00A37A7F" w:rsidP="00A37A7F">
      <w:pPr>
        <w:rPr>
          <w:lang w:val="en-CA"/>
        </w:rPr>
      </w:pPr>
    </w:p>
    <w:p w:rsidR="00FE2523" w:rsidRDefault="00FE2523" w:rsidP="00FE2523">
      <w:pPr>
        <w:pStyle w:val="Heading1"/>
        <w:rPr>
          <w:lang w:val="en-CA"/>
        </w:rPr>
      </w:pPr>
      <w:r>
        <w:rPr>
          <w:lang w:val="en-CA"/>
        </w:rPr>
        <w:t>Proposed Requirements</w:t>
      </w:r>
    </w:p>
    <w:p w:rsidR="00643CF5" w:rsidRDefault="00643CF5" w:rsidP="00BE15CF">
      <w:pPr>
        <w:jc w:val="both"/>
        <w:rPr>
          <w:sz w:val="22"/>
          <w:szCs w:val="22"/>
        </w:rPr>
      </w:pPr>
      <w:r w:rsidRPr="00643CF5">
        <w:rPr>
          <w:sz w:val="22"/>
          <w:lang w:val="en-CA"/>
        </w:rPr>
        <w:t>The measurement accuracy requirements are</w:t>
      </w:r>
      <w:r>
        <w:rPr>
          <w:sz w:val="22"/>
          <w:szCs w:val="22"/>
        </w:rPr>
        <w:t xml:space="preserve"> based on physical layer measurement results derived under the assumption of perfect calibration, and then for RSRP absolute accuracy, and RSRP inter-frequency relative accuracy, RF margin is added. The reason for adding RF margins is that there is a calibration tolerance in the manufacturing of the UE</w:t>
      </w:r>
      <w:r w:rsidR="00BE15CF">
        <w:rPr>
          <w:sz w:val="22"/>
          <w:szCs w:val="22"/>
        </w:rPr>
        <w:t xml:space="preserve"> (outline of procedure is provided in </w:t>
      </w:r>
      <w:r w:rsidR="00BE15CF">
        <w:rPr>
          <w:sz w:val="22"/>
          <w:szCs w:val="22"/>
        </w:rPr>
        <w:fldChar w:fldCharType="begin"/>
      </w:r>
      <w:r w:rsidR="00BE15CF">
        <w:rPr>
          <w:sz w:val="22"/>
          <w:szCs w:val="22"/>
        </w:rPr>
        <w:instrText xml:space="preserve"> REF _Ref490035630 \r \h  \* MERGEFORMAT </w:instrText>
      </w:r>
      <w:r w:rsidR="00BE15CF">
        <w:rPr>
          <w:sz w:val="22"/>
          <w:szCs w:val="22"/>
        </w:rPr>
      </w:r>
      <w:r w:rsidR="00BE15CF">
        <w:rPr>
          <w:sz w:val="22"/>
          <w:szCs w:val="22"/>
        </w:rPr>
        <w:fldChar w:fldCharType="separate"/>
      </w:r>
      <w:r w:rsidR="00BE15CF">
        <w:rPr>
          <w:sz w:val="22"/>
          <w:szCs w:val="22"/>
        </w:rPr>
        <w:t>[2]</w:t>
      </w:r>
      <w:r w:rsidR="00BE15CF">
        <w:rPr>
          <w:sz w:val="22"/>
          <w:szCs w:val="22"/>
        </w:rPr>
        <w:fldChar w:fldCharType="end"/>
      </w:r>
      <w:r w:rsidR="00BE15CF">
        <w:rPr>
          <w:sz w:val="22"/>
          <w:szCs w:val="22"/>
        </w:rPr>
        <w:t>)</w:t>
      </w:r>
      <w:r>
        <w:rPr>
          <w:sz w:val="22"/>
          <w:szCs w:val="22"/>
        </w:rPr>
        <w:t>. F</w:t>
      </w:r>
      <w:r w:rsidR="00BE15CF">
        <w:rPr>
          <w:sz w:val="22"/>
          <w:szCs w:val="22"/>
        </w:rPr>
        <w:t>ollowing earlier agreements, for UE Cat M1 we are assuming an RF margin of ±4dB instead of the ±2.5dB assumed for legacy UEs.</w:t>
      </w:r>
    </w:p>
    <w:p w:rsidR="00BE15CF" w:rsidRDefault="00BE15CF" w:rsidP="00BE15CF">
      <w:pPr>
        <w:jc w:val="both"/>
        <w:rPr>
          <w:sz w:val="22"/>
          <w:szCs w:val="22"/>
        </w:rPr>
      </w:pPr>
      <w:r>
        <w:rPr>
          <w:sz w:val="22"/>
          <w:szCs w:val="22"/>
        </w:rPr>
        <w:t>For measurement accuracy requirements on RSRQ, the calibration errors have equal impacts on the numerator (RSRP) and the denominator (RSSI). Hence, for RSRQ there is no need to consider an RF margin since it is cancelled out.</w:t>
      </w:r>
    </w:p>
    <w:p w:rsidR="00BE15CF" w:rsidRDefault="00BE15CF" w:rsidP="00643CF5">
      <w:pPr>
        <w:rPr>
          <w:sz w:val="22"/>
          <w:szCs w:val="22"/>
        </w:rPr>
      </w:pPr>
    </w:p>
    <w:p w:rsidR="00BE15CF" w:rsidRPr="00643CF5" w:rsidRDefault="00BE15CF" w:rsidP="00643CF5">
      <w:pPr>
        <w:rPr>
          <w:sz w:val="22"/>
          <w:szCs w:val="22"/>
        </w:rPr>
      </w:pPr>
    </w:p>
    <w:p w:rsidR="00643CF5" w:rsidRPr="00BE15CF" w:rsidRDefault="00643CF5" w:rsidP="00643CF5">
      <w:pPr>
        <w:rPr>
          <w:color w:val="4F81BD" w:themeColor="accent1"/>
          <w:sz w:val="22"/>
          <w:szCs w:val="22"/>
        </w:rPr>
      </w:pPr>
      <w:r w:rsidRPr="00BE15CF">
        <w:rPr>
          <w:color w:val="4F81BD" w:themeColor="accent1"/>
          <w:sz w:val="22"/>
          <w:szCs w:val="22"/>
        </w:rPr>
        <w:t>9.1.21.6</w:t>
      </w:r>
      <w:r w:rsidRPr="00BE15CF">
        <w:rPr>
          <w:color w:val="4F81BD" w:themeColor="accent1"/>
          <w:sz w:val="22"/>
          <w:szCs w:val="22"/>
        </w:rPr>
        <w:tab/>
      </w:r>
      <w:r w:rsidRPr="00BE15CF">
        <w:rPr>
          <w:color w:val="4F81BD" w:themeColor="accent1"/>
          <w:sz w:val="22"/>
          <w:szCs w:val="22"/>
        </w:rPr>
        <w:tab/>
      </w:r>
      <w:r w:rsidRPr="00BE15CF">
        <w:rPr>
          <w:color w:val="4F81BD" w:themeColor="accent1"/>
          <w:sz w:val="22"/>
          <w:szCs w:val="22"/>
        </w:rPr>
        <w:tab/>
        <w:t>Intra-frequency Absolute Accuracy of RSRQ for UE category M1 with CE mode A</w:t>
      </w:r>
    </w:p>
    <w:p w:rsidR="00BE15CF" w:rsidRPr="00BE15CF" w:rsidRDefault="0039674D" w:rsidP="00643CF5">
      <w:pPr>
        <w:rPr>
          <w:sz w:val="22"/>
          <w:szCs w:val="22"/>
        </w:rPr>
      </w:pPr>
      <w:r>
        <w:rPr>
          <w:sz w:val="22"/>
          <w:szCs w:val="22"/>
        </w:rPr>
        <w:t>Base</w:t>
      </w:r>
      <w:r w:rsidR="00D001E8">
        <w:rPr>
          <w:sz w:val="22"/>
          <w:szCs w:val="22"/>
        </w:rPr>
        <w:t>d on the simulation results (3.6 and 3.4dB for lower Ês/Iot range</w:t>
      </w:r>
      <w:r>
        <w:rPr>
          <w:sz w:val="22"/>
          <w:szCs w:val="22"/>
        </w:rPr>
        <w:t>), we</w:t>
      </w:r>
      <w:r w:rsidR="00177AFC">
        <w:rPr>
          <w:sz w:val="22"/>
          <w:szCs w:val="22"/>
        </w:rPr>
        <w:t xml:space="preserve"> propose a </w:t>
      </w:r>
      <w:r>
        <w:rPr>
          <w:sz w:val="22"/>
          <w:szCs w:val="22"/>
        </w:rPr>
        <w:t>requirement of ±</w:t>
      </w:r>
      <w:r w:rsidR="00D001E8">
        <w:rPr>
          <w:sz w:val="22"/>
          <w:szCs w:val="22"/>
        </w:rPr>
        <w:t>4</w:t>
      </w:r>
      <w:r>
        <w:rPr>
          <w:sz w:val="22"/>
          <w:szCs w:val="22"/>
        </w:rPr>
        <w:t>dB for Ês/Iot ≥</w:t>
      </w:r>
      <w:r w:rsidR="00177AFC">
        <w:rPr>
          <w:sz w:val="22"/>
          <w:szCs w:val="22"/>
        </w:rPr>
        <w:t xml:space="preserve"> -6dB under normal conditions and lower Io range.</w:t>
      </w:r>
      <w:r>
        <w:rPr>
          <w:sz w:val="22"/>
          <w:szCs w:val="22"/>
        </w:rPr>
        <w:t xml:space="preserve">  </w:t>
      </w:r>
    </w:p>
    <w:p w:rsidR="0039674D" w:rsidRDefault="0039674D" w:rsidP="00643CF5">
      <w:pPr>
        <w:rPr>
          <w:color w:val="4F81BD" w:themeColor="accent1"/>
          <w:sz w:val="22"/>
          <w:szCs w:val="22"/>
        </w:rPr>
      </w:pPr>
    </w:p>
    <w:p w:rsidR="00643CF5" w:rsidRDefault="00643CF5" w:rsidP="00643CF5">
      <w:pPr>
        <w:rPr>
          <w:color w:val="4F81BD" w:themeColor="accent1"/>
          <w:sz w:val="22"/>
          <w:szCs w:val="22"/>
        </w:rPr>
      </w:pPr>
      <w:r w:rsidRPr="0039674D">
        <w:rPr>
          <w:color w:val="4F81BD" w:themeColor="accent1"/>
          <w:sz w:val="22"/>
          <w:szCs w:val="22"/>
        </w:rPr>
        <w:t>9.1.21.7</w:t>
      </w:r>
      <w:r w:rsidRPr="0039674D">
        <w:rPr>
          <w:color w:val="4F81BD" w:themeColor="accent1"/>
          <w:sz w:val="22"/>
          <w:szCs w:val="22"/>
        </w:rPr>
        <w:tab/>
      </w:r>
      <w:r w:rsidRPr="0039674D">
        <w:rPr>
          <w:color w:val="4F81BD" w:themeColor="accent1"/>
          <w:sz w:val="22"/>
          <w:szCs w:val="22"/>
        </w:rPr>
        <w:tab/>
      </w:r>
      <w:r w:rsidRPr="0039674D">
        <w:rPr>
          <w:color w:val="4F81BD" w:themeColor="accent1"/>
          <w:sz w:val="22"/>
          <w:szCs w:val="22"/>
        </w:rPr>
        <w:tab/>
        <w:t>Intra-frequency Absolute Accuracy of RSRQ for UE category M1 with CE mode B</w:t>
      </w:r>
    </w:p>
    <w:p w:rsidR="0039674D" w:rsidRDefault="0039674D" w:rsidP="00177AFC">
      <w:pPr>
        <w:jc w:val="both"/>
        <w:rPr>
          <w:sz w:val="22"/>
          <w:lang w:val="en-CA"/>
        </w:rPr>
      </w:pPr>
      <w:r w:rsidRPr="0039674D">
        <w:rPr>
          <w:sz w:val="22"/>
          <w:szCs w:val="22"/>
        </w:rPr>
        <w:t>Based on simulation results</w:t>
      </w:r>
      <w:r>
        <w:rPr>
          <w:sz w:val="22"/>
          <w:szCs w:val="22"/>
        </w:rPr>
        <w:t xml:space="preserve"> (4.1dB for lower SINR range and 5dB for higher SINR range), we</w:t>
      </w:r>
      <w:r w:rsidR="00177AFC">
        <w:rPr>
          <w:sz w:val="22"/>
          <w:szCs w:val="22"/>
        </w:rPr>
        <w:t xml:space="preserve"> propose a </w:t>
      </w:r>
      <w:r>
        <w:rPr>
          <w:sz w:val="22"/>
          <w:szCs w:val="22"/>
        </w:rPr>
        <w:t xml:space="preserve">requirement of ±5dB for both ranges </w:t>
      </w:r>
      <w:r w:rsidRPr="0039674D">
        <w:rPr>
          <w:sz w:val="22"/>
          <w:lang w:val="en-CA"/>
        </w:rPr>
        <w:t>-15 ≤ Es/Iot &lt; -12</w:t>
      </w:r>
      <w:r>
        <w:rPr>
          <w:sz w:val="22"/>
          <w:lang w:val="en-CA"/>
        </w:rPr>
        <w:t>dB</w:t>
      </w:r>
      <w:r w:rsidRPr="0039674D">
        <w:rPr>
          <w:sz w:val="22"/>
          <w:lang w:val="en-CA"/>
        </w:rPr>
        <w:t xml:space="preserve"> and -12 ≤ Es/Iot &lt; -6</w:t>
      </w:r>
      <w:r>
        <w:rPr>
          <w:sz w:val="22"/>
          <w:lang w:val="en-CA"/>
        </w:rPr>
        <w:t>dB</w:t>
      </w:r>
      <w:r w:rsidR="00177AFC">
        <w:rPr>
          <w:sz w:val="22"/>
          <w:lang w:val="en-CA"/>
        </w:rPr>
        <w:t>, under normal conditions and lower Io range.</w:t>
      </w:r>
    </w:p>
    <w:p w:rsidR="00177AFC" w:rsidRPr="00177AFC" w:rsidRDefault="00177AFC" w:rsidP="00643CF5">
      <w:pPr>
        <w:rPr>
          <w:sz w:val="22"/>
          <w:lang w:val="en-CA"/>
        </w:rPr>
      </w:pPr>
    </w:p>
    <w:p w:rsidR="00643CF5" w:rsidRDefault="00643CF5" w:rsidP="00643CF5">
      <w:pPr>
        <w:rPr>
          <w:color w:val="4F81BD" w:themeColor="accent1"/>
          <w:sz w:val="22"/>
          <w:szCs w:val="22"/>
        </w:rPr>
      </w:pPr>
      <w:r w:rsidRPr="0039674D">
        <w:rPr>
          <w:color w:val="4F81BD" w:themeColor="accent1"/>
          <w:sz w:val="22"/>
          <w:szCs w:val="22"/>
        </w:rPr>
        <w:t>9.1.21.9</w:t>
      </w:r>
      <w:r w:rsidRPr="0039674D">
        <w:rPr>
          <w:color w:val="4F81BD" w:themeColor="accent1"/>
          <w:sz w:val="22"/>
          <w:szCs w:val="22"/>
        </w:rPr>
        <w:tab/>
      </w:r>
      <w:r w:rsidRPr="0039674D">
        <w:rPr>
          <w:color w:val="4F81BD" w:themeColor="accent1"/>
          <w:sz w:val="22"/>
          <w:szCs w:val="22"/>
        </w:rPr>
        <w:tab/>
      </w:r>
      <w:r w:rsidRPr="0039674D">
        <w:rPr>
          <w:color w:val="4F81BD" w:themeColor="accent1"/>
          <w:sz w:val="22"/>
          <w:szCs w:val="22"/>
        </w:rPr>
        <w:tab/>
        <w:t>Inter-frequency Absolute RSRP Accuracy for UE category M1 with CE mode A</w:t>
      </w:r>
    </w:p>
    <w:p w:rsidR="0039674D" w:rsidRDefault="0039674D" w:rsidP="00177AFC">
      <w:pPr>
        <w:jc w:val="both"/>
        <w:rPr>
          <w:sz w:val="22"/>
          <w:szCs w:val="22"/>
        </w:rPr>
      </w:pPr>
      <w:r>
        <w:rPr>
          <w:sz w:val="22"/>
          <w:szCs w:val="22"/>
        </w:rPr>
        <w:t>This scenario is identical to intra-frequency absolute RSRP accuracy which already includes physical layer measurement uncertainty and RF margin. Hence we</w:t>
      </w:r>
      <w:r w:rsidR="00177AFC">
        <w:rPr>
          <w:sz w:val="22"/>
          <w:szCs w:val="22"/>
        </w:rPr>
        <w:t xml:space="preserve"> propose a </w:t>
      </w:r>
      <w:r>
        <w:rPr>
          <w:sz w:val="22"/>
          <w:szCs w:val="22"/>
        </w:rPr>
        <w:t xml:space="preserve">requirement of </w:t>
      </w:r>
      <w:r w:rsidR="00177AFC">
        <w:rPr>
          <w:sz w:val="22"/>
          <w:szCs w:val="22"/>
        </w:rPr>
        <w:t>±7dB under normal conditions and lower Io range.</w:t>
      </w:r>
    </w:p>
    <w:p w:rsidR="00177AFC" w:rsidRPr="0039674D" w:rsidRDefault="00177AFC" w:rsidP="00643CF5">
      <w:pPr>
        <w:rPr>
          <w:sz w:val="22"/>
          <w:szCs w:val="22"/>
        </w:rPr>
      </w:pPr>
    </w:p>
    <w:p w:rsidR="00643CF5" w:rsidRPr="00CD549B" w:rsidRDefault="00643CF5" w:rsidP="00643CF5">
      <w:pPr>
        <w:rPr>
          <w:color w:val="4F81BD" w:themeColor="accent1"/>
          <w:sz w:val="22"/>
          <w:szCs w:val="22"/>
        </w:rPr>
      </w:pPr>
      <w:r w:rsidRPr="00CD549B">
        <w:rPr>
          <w:color w:val="4F81BD" w:themeColor="accent1"/>
          <w:sz w:val="22"/>
          <w:szCs w:val="22"/>
        </w:rPr>
        <w:t>9.1.21.10</w:t>
      </w:r>
      <w:r w:rsidRPr="00CD549B">
        <w:rPr>
          <w:color w:val="4F81BD" w:themeColor="accent1"/>
          <w:sz w:val="22"/>
          <w:szCs w:val="22"/>
        </w:rPr>
        <w:tab/>
      </w:r>
      <w:r w:rsidRPr="00CD549B">
        <w:rPr>
          <w:color w:val="4F81BD" w:themeColor="accent1"/>
          <w:sz w:val="22"/>
          <w:szCs w:val="22"/>
        </w:rPr>
        <w:tab/>
      </w:r>
      <w:r w:rsidRPr="00CD549B">
        <w:rPr>
          <w:color w:val="4F81BD" w:themeColor="accent1"/>
          <w:sz w:val="22"/>
          <w:szCs w:val="22"/>
        </w:rPr>
        <w:tab/>
        <w:t>Inter-frequency Relative Accuracy of RSRP for UE category M1 with CE mode A</w:t>
      </w:r>
    </w:p>
    <w:p w:rsidR="00D001E8" w:rsidRDefault="00CD549B" w:rsidP="00643CF5">
      <w:pPr>
        <w:rPr>
          <w:sz w:val="22"/>
          <w:szCs w:val="22"/>
        </w:rPr>
      </w:pPr>
      <w:r w:rsidRPr="00CD549B">
        <w:rPr>
          <w:sz w:val="22"/>
          <w:szCs w:val="22"/>
        </w:rPr>
        <w:lastRenderedPageBreak/>
        <w:t>Following</w:t>
      </w:r>
      <w:r>
        <w:rPr>
          <w:color w:val="FF0000"/>
          <w:sz w:val="22"/>
          <w:szCs w:val="22"/>
        </w:rPr>
        <w:t xml:space="preserve"> </w:t>
      </w:r>
      <w:r w:rsidRPr="00CD549B">
        <w:rPr>
          <w:sz w:val="22"/>
          <w:szCs w:val="22"/>
        </w:rPr>
        <w:t>the methodology in legacy</w:t>
      </w:r>
      <w:r>
        <w:rPr>
          <w:sz w:val="22"/>
          <w:szCs w:val="22"/>
        </w:rPr>
        <w:t xml:space="preserve"> (see </w:t>
      </w:r>
      <w:r>
        <w:rPr>
          <w:sz w:val="22"/>
          <w:szCs w:val="22"/>
        </w:rPr>
        <w:fldChar w:fldCharType="begin"/>
      </w:r>
      <w:r>
        <w:rPr>
          <w:sz w:val="22"/>
          <w:szCs w:val="22"/>
        </w:rPr>
        <w:instrText xml:space="preserve"> REF _Ref490041123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and compare 9.1.3.1 and 9.1.3.2), we propose the requirements to be identical to the inter-frequency absolute tolerance. Hence we propose a requirement of ±7dB under normal conditions.</w:t>
      </w:r>
    </w:p>
    <w:p w:rsidR="003E47E0" w:rsidRPr="00D001E8" w:rsidRDefault="003E47E0" w:rsidP="00643CF5">
      <w:pPr>
        <w:rPr>
          <w:color w:val="FF0000"/>
          <w:sz w:val="22"/>
          <w:szCs w:val="22"/>
        </w:rPr>
      </w:pPr>
    </w:p>
    <w:p w:rsidR="00643CF5" w:rsidRDefault="00643CF5" w:rsidP="00643CF5">
      <w:pPr>
        <w:rPr>
          <w:color w:val="4F81BD" w:themeColor="accent1"/>
          <w:sz w:val="22"/>
          <w:szCs w:val="22"/>
        </w:rPr>
      </w:pPr>
      <w:r w:rsidRPr="00177AFC">
        <w:rPr>
          <w:color w:val="4F81BD" w:themeColor="accent1"/>
          <w:sz w:val="22"/>
          <w:szCs w:val="22"/>
        </w:rPr>
        <w:t>9.1.21.11</w:t>
      </w:r>
      <w:r w:rsidRPr="00177AFC">
        <w:rPr>
          <w:color w:val="4F81BD" w:themeColor="accent1"/>
          <w:sz w:val="22"/>
          <w:szCs w:val="22"/>
        </w:rPr>
        <w:tab/>
      </w:r>
      <w:r w:rsidRPr="00177AFC">
        <w:rPr>
          <w:color w:val="4F81BD" w:themeColor="accent1"/>
          <w:sz w:val="22"/>
          <w:szCs w:val="22"/>
        </w:rPr>
        <w:tab/>
      </w:r>
      <w:r w:rsidRPr="00177AFC">
        <w:rPr>
          <w:color w:val="4F81BD" w:themeColor="accent1"/>
          <w:sz w:val="22"/>
          <w:szCs w:val="22"/>
        </w:rPr>
        <w:tab/>
        <w:t>Inter-frequency Absolute RSRP Accuracy for UE category M1 with CE mode B</w:t>
      </w:r>
    </w:p>
    <w:p w:rsidR="00D001E8" w:rsidRDefault="00177AFC" w:rsidP="00CD549B">
      <w:pPr>
        <w:jc w:val="both"/>
        <w:rPr>
          <w:sz w:val="22"/>
          <w:szCs w:val="22"/>
        </w:rPr>
      </w:pPr>
      <w:r>
        <w:rPr>
          <w:sz w:val="22"/>
          <w:szCs w:val="22"/>
        </w:rPr>
        <w:t>This scenario is identical to intra-frequency absolute RSRP accuracy which already includes physical layer measurement uncertainty and RF margin. Hence we propose a requirement of ±8dB for -15 ≤ Ês/Iot &lt; -12dB and ±7dB for -12 ≤ Ês/Iot &lt; -6dB, under normal conditions and lower Io range.</w:t>
      </w:r>
    </w:p>
    <w:p w:rsidR="003E47E0" w:rsidRPr="00CD549B" w:rsidRDefault="003E47E0" w:rsidP="00CD549B">
      <w:pPr>
        <w:jc w:val="both"/>
        <w:rPr>
          <w:sz w:val="22"/>
          <w:szCs w:val="22"/>
        </w:rPr>
      </w:pPr>
    </w:p>
    <w:p w:rsidR="00643CF5" w:rsidRPr="00CD549B" w:rsidRDefault="00643CF5" w:rsidP="00643CF5">
      <w:pPr>
        <w:rPr>
          <w:color w:val="4F81BD" w:themeColor="accent1"/>
          <w:sz w:val="22"/>
          <w:szCs w:val="22"/>
        </w:rPr>
      </w:pPr>
      <w:r w:rsidRPr="00CD549B">
        <w:rPr>
          <w:color w:val="4F81BD" w:themeColor="accent1"/>
          <w:sz w:val="22"/>
          <w:szCs w:val="22"/>
        </w:rPr>
        <w:t>9.1.21.12</w:t>
      </w:r>
      <w:r w:rsidRPr="00CD549B">
        <w:rPr>
          <w:color w:val="4F81BD" w:themeColor="accent1"/>
          <w:sz w:val="22"/>
          <w:szCs w:val="22"/>
        </w:rPr>
        <w:tab/>
      </w:r>
      <w:r w:rsidRPr="00CD549B">
        <w:rPr>
          <w:color w:val="4F81BD" w:themeColor="accent1"/>
          <w:sz w:val="22"/>
          <w:szCs w:val="22"/>
        </w:rPr>
        <w:tab/>
      </w:r>
      <w:r w:rsidRPr="00CD549B">
        <w:rPr>
          <w:color w:val="4F81BD" w:themeColor="accent1"/>
          <w:sz w:val="22"/>
          <w:szCs w:val="22"/>
        </w:rPr>
        <w:tab/>
        <w:t>Inter-frequency Relative Accuracy of RSRP for UE category M1 with CE mode B</w:t>
      </w:r>
    </w:p>
    <w:p w:rsidR="00CD549B" w:rsidRDefault="00CD549B" w:rsidP="00643CF5">
      <w:pPr>
        <w:rPr>
          <w:sz w:val="22"/>
          <w:szCs w:val="22"/>
        </w:rPr>
      </w:pPr>
      <w:r w:rsidRPr="00CD549B">
        <w:rPr>
          <w:sz w:val="22"/>
          <w:szCs w:val="22"/>
        </w:rPr>
        <w:t>Following</w:t>
      </w:r>
      <w:r>
        <w:rPr>
          <w:color w:val="FF0000"/>
          <w:sz w:val="22"/>
          <w:szCs w:val="22"/>
        </w:rPr>
        <w:t xml:space="preserve"> </w:t>
      </w:r>
      <w:r w:rsidRPr="00CD549B">
        <w:rPr>
          <w:sz w:val="22"/>
          <w:szCs w:val="22"/>
        </w:rPr>
        <w:t>the methodology in legacy</w:t>
      </w:r>
      <w:r>
        <w:rPr>
          <w:sz w:val="22"/>
          <w:szCs w:val="22"/>
        </w:rPr>
        <w:t xml:space="preserve"> (see </w:t>
      </w:r>
      <w:r>
        <w:rPr>
          <w:sz w:val="22"/>
          <w:szCs w:val="22"/>
        </w:rPr>
        <w:fldChar w:fldCharType="begin"/>
      </w:r>
      <w:r>
        <w:rPr>
          <w:sz w:val="22"/>
          <w:szCs w:val="22"/>
        </w:rPr>
        <w:instrText xml:space="preserve"> REF _Ref490041123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and compare 9.1.3.1 and 9.1.3.2), we propose the requirements to be identical to the inter-frequency absolute tolerance. Hence we propose a requirement of ±8dB for -15 ≤ Ês/Iot &lt; -12dB and ±7dB for -12 ≤ Ês/Iot &lt; -6dB, under normal conditions and lower Io range.</w:t>
      </w:r>
    </w:p>
    <w:p w:rsidR="003E47E0" w:rsidRDefault="003E47E0" w:rsidP="00643CF5">
      <w:pPr>
        <w:rPr>
          <w:sz w:val="22"/>
          <w:szCs w:val="22"/>
        </w:rPr>
      </w:pPr>
    </w:p>
    <w:p w:rsidR="00643CF5" w:rsidRPr="00D001E8" w:rsidRDefault="00643CF5" w:rsidP="00643CF5">
      <w:pPr>
        <w:rPr>
          <w:color w:val="4F81BD" w:themeColor="accent1"/>
          <w:sz w:val="22"/>
          <w:szCs w:val="22"/>
        </w:rPr>
      </w:pPr>
      <w:r w:rsidRPr="00D001E8">
        <w:rPr>
          <w:color w:val="4F81BD" w:themeColor="accent1"/>
          <w:sz w:val="22"/>
          <w:szCs w:val="22"/>
        </w:rPr>
        <w:t>9.1.21.13</w:t>
      </w:r>
      <w:r w:rsidRPr="00D001E8">
        <w:rPr>
          <w:color w:val="4F81BD" w:themeColor="accent1"/>
          <w:sz w:val="22"/>
          <w:szCs w:val="22"/>
        </w:rPr>
        <w:tab/>
      </w:r>
      <w:r w:rsidRPr="00D001E8">
        <w:rPr>
          <w:color w:val="4F81BD" w:themeColor="accent1"/>
          <w:sz w:val="22"/>
          <w:szCs w:val="22"/>
        </w:rPr>
        <w:tab/>
      </w:r>
      <w:r w:rsidRPr="00D001E8">
        <w:rPr>
          <w:color w:val="4F81BD" w:themeColor="accent1"/>
          <w:sz w:val="22"/>
          <w:szCs w:val="22"/>
        </w:rPr>
        <w:tab/>
        <w:t>Inter-frequency Absolute Accuracy of RSRQ for UE category M1 in CE mode A</w:t>
      </w:r>
    </w:p>
    <w:p w:rsidR="00D001E8" w:rsidRDefault="00D001E8" w:rsidP="00643CF5">
      <w:pPr>
        <w:rPr>
          <w:sz w:val="22"/>
          <w:szCs w:val="22"/>
        </w:rPr>
      </w:pPr>
      <w:r>
        <w:rPr>
          <w:sz w:val="22"/>
          <w:szCs w:val="22"/>
        </w:rPr>
        <w:t xml:space="preserve">Based on the simulation results (3.6 and 3.4dB for lower and upper Ês/Iot range), we propose a requirement of ±4dB for Ês/Iot ≥ </w:t>
      </w:r>
      <w:r w:rsidRPr="003E47E0">
        <w:rPr>
          <w:sz w:val="22"/>
          <w:szCs w:val="22"/>
        </w:rPr>
        <w:t>-6dB</w:t>
      </w:r>
      <w:r>
        <w:rPr>
          <w:sz w:val="22"/>
          <w:szCs w:val="22"/>
        </w:rPr>
        <w:t xml:space="preserve"> under normal conditions and lower Io range.</w:t>
      </w:r>
    </w:p>
    <w:p w:rsidR="003E47E0" w:rsidRPr="00643CF5" w:rsidRDefault="003E47E0" w:rsidP="00643CF5">
      <w:pPr>
        <w:rPr>
          <w:sz w:val="22"/>
          <w:szCs w:val="22"/>
        </w:rPr>
      </w:pPr>
    </w:p>
    <w:p w:rsidR="00643CF5" w:rsidRPr="003E47E0" w:rsidRDefault="00643CF5" w:rsidP="00643CF5">
      <w:pPr>
        <w:rPr>
          <w:color w:val="4F81BD" w:themeColor="accent1"/>
          <w:sz w:val="22"/>
          <w:szCs w:val="22"/>
        </w:rPr>
      </w:pPr>
      <w:r w:rsidRPr="003E47E0">
        <w:rPr>
          <w:color w:val="4F81BD" w:themeColor="accent1"/>
          <w:sz w:val="22"/>
          <w:szCs w:val="22"/>
        </w:rPr>
        <w:t>9.1.21.14</w:t>
      </w:r>
      <w:r w:rsidRPr="003E47E0">
        <w:rPr>
          <w:color w:val="4F81BD" w:themeColor="accent1"/>
          <w:sz w:val="22"/>
          <w:szCs w:val="22"/>
        </w:rPr>
        <w:tab/>
      </w:r>
      <w:r w:rsidRPr="003E47E0">
        <w:rPr>
          <w:color w:val="4F81BD" w:themeColor="accent1"/>
          <w:sz w:val="22"/>
          <w:szCs w:val="22"/>
        </w:rPr>
        <w:tab/>
      </w:r>
      <w:r w:rsidRPr="003E47E0">
        <w:rPr>
          <w:color w:val="4F81BD" w:themeColor="accent1"/>
          <w:sz w:val="22"/>
          <w:szCs w:val="22"/>
        </w:rPr>
        <w:tab/>
        <w:t>Inter-frequency Relative Accuracy of RSRQ for UE category M1 in CE mode A</w:t>
      </w:r>
    </w:p>
    <w:p w:rsidR="00D001E8" w:rsidRDefault="003E47E0" w:rsidP="00643CF5">
      <w:pPr>
        <w:rPr>
          <w:sz w:val="22"/>
          <w:szCs w:val="22"/>
        </w:rPr>
      </w:pPr>
      <w:r w:rsidRPr="00CD549B">
        <w:rPr>
          <w:sz w:val="22"/>
          <w:szCs w:val="22"/>
        </w:rPr>
        <w:t>Following</w:t>
      </w:r>
      <w:r>
        <w:rPr>
          <w:color w:val="FF0000"/>
          <w:sz w:val="22"/>
          <w:szCs w:val="22"/>
        </w:rPr>
        <w:t xml:space="preserve"> </w:t>
      </w:r>
      <w:r w:rsidRPr="00CD549B">
        <w:rPr>
          <w:sz w:val="22"/>
          <w:szCs w:val="22"/>
        </w:rPr>
        <w:t>the methodology in legacy</w:t>
      </w:r>
      <w:r>
        <w:rPr>
          <w:sz w:val="22"/>
          <w:szCs w:val="22"/>
        </w:rPr>
        <w:t xml:space="preserve"> (see </w:t>
      </w:r>
      <w:r>
        <w:rPr>
          <w:sz w:val="22"/>
          <w:szCs w:val="22"/>
        </w:rPr>
        <w:fldChar w:fldCharType="begin"/>
      </w:r>
      <w:r>
        <w:rPr>
          <w:sz w:val="22"/>
          <w:szCs w:val="22"/>
        </w:rPr>
        <w:instrText xml:space="preserve"> REF _Ref490041123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and compare 9.1.6.1 and 9.1.6.2), we propose the requirements to be based on the inter-frequency absolute tolerance plus an extra margin of 0.5dB. Hence we propose a requirement of ±4.5dB for Ês/Iot ≥ </w:t>
      </w:r>
      <w:r w:rsidRPr="003E47E0">
        <w:rPr>
          <w:sz w:val="22"/>
          <w:szCs w:val="22"/>
        </w:rPr>
        <w:t>-6dB</w:t>
      </w:r>
      <w:r>
        <w:rPr>
          <w:sz w:val="22"/>
          <w:szCs w:val="22"/>
        </w:rPr>
        <w:t xml:space="preserve"> under normal conditions.</w:t>
      </w:r>
    </w:p>
    <w:p w:rsidR="003E47E0" w:rsidRPr="003E47E0" w:rsidRDefault="003E47E0" w:rsidP="00643CF5">
      <w:pPr>
        <w:rPr>
          <w:sz w:val="22"/>
          <w:szCs w:val="22"/>
        </w:rPr>
      </w:pPr>
    </w:p>
    <w:p w:rsidR="00643CF5" w:rsidRDefault="00643CF5" w:rsidP="00643CF5">
      <w:pPr>
        <w:rPr>
          <w:color w:val="4F81BD" w:themeColor="accent1"/>
          <w:sz w:val="22"/>
          <w:szCs w:val="22"/>
        </w:rPr>
      </w:pPr>
      <w:r w:rsidRPr="00D001E8">
        <w:rPr>
          <w:color w:val="4F81BD" w:themeColor="accent1"/>
          <w:sz w:val="22"/>
          <w:szCs w:val="22"/>
        </w:rPr>
        <w:t>9.1.21.15</w:t>
      </w:r>
      <w:r w:rsidRPr="00D001E8">
        <w:rPr>
          <w:color w:val="4F81BD" w:themeColor="accent1"/>
          <w:sz w:val="22"/>
          <w:szCs w:val="22"/>
        </w:rPr>
        <w:tab/>
      </w:r>
      <w:r w:rsidRPr="00D001E8">
        <w:rPr>
          <w:color w:val="4F81BD" w:themeColor="accent1"/>
          <w:sz w:val="22"/>
          <w:szCs w:val="22"/>
        </w:rPr>
        <w:tab/>
      </w:r>
      <w:r w:rsidRPr="00D001E8">
        <w:rPr>
          <w:color w:val="4F81BD" w:themeColor="accent1"/>
          <w:sz w:val="22"/>
          <w:szCs w:val="22"/>
        </w:rPr>
        <w:tab/>
        <w:t>Inter-frequency</w:t>
      </w:r>
      <w:r w:rsidRPr="00643CF5">
        <w:rPr>
          <w:sz w:val="22"/>
          <w:szCs w:val="22"/>
        </w:rPr>
        <w:t xml:space="preserve"> </w:t>
      </w:r>
      <w:r w:rsidRPr="00D001E8">
        <w:rPr>
          <w:color w:val="00B050"/>
          <w:sz w:val="22"/>
          <w:szCs w:val="22"/>
        </w:rPr>
        <w:t xml:space="preserve">Absolute </w:t>
      </w:r>
      <w:r w:rsidRPr="00D001E8">
        <w:rPr>
          <w:strike/>
          <w:color w:val="00B050"/>
          <w:sz w:val="22"/>
          <w:szCs w:val="22"/>
        </w:rPr>
        <w:t>RSRQ</w:t>
      </w:r>
      <w:r w:rsidRPr="00D001E8">
        <w:rPr>
          <w:color w:val="00B050"/>
          <w:sz w:val="22"/>
          <w:szCs w:val="22"/>
        </w:rPr>
        <w:t xml:space="preserve"> </w:t>
      </w:r>
      <w:r w:rsidRPr="00D001E8">
        <w:rPr>
          <w:color w:val="4F81BD" w:themeColor="accent1"/>
          <w:sz w:val="22"/>
          <w:szCs w:val="22"/>
        </w:rPr>
        <w:t>Accuracy of RSRQ for UE category M1 in CE mode B</w:t>
      </w:r>
    </w:p>
    <w:p w:rsidR="00D001E8" w:rsidRDefault="00D001E8" w:rsidP="00D001E8">
      <w:pPr>
        <w:jc w:val="both"/>
        <w:rPr>
          <w:sz w:val="22"/>
          <w:lang w:val="en-CA"/>
        </w:rPr>
      </w:pPr>
      <w:r w:rsidRPr="0039674D">
        <w:rPr>
          <w:sz w:val="22"/>
          <w:szCs w:val="22"/>
        </w:rPr>
        <w:t>Based on simulation results</w:t>
      </w:r>
      <w:r>
        <w:rPr>
          <w:sz w:val="22"/>
          <w:szCs w:val="22"/>
        </w:rPr>
        <w:t xml:space="preserve"> (4.1dB for lower SINR range and 5dB for higher SINR range), we propose a requirement of ±5dB for both ranges </w:t>
      </w:r>
      <w:r w:rsidRPr="0039674D">
        <w:rPr>
          <w:sz w:val="22"/>
          <w:lang w:val="en-CA"/>
        </w:rPr>
        <w:t>-15 ≤ Es/Iot &lt; -12</w:t>
      </w:r>
      <w:r>
        <w:rPr>
          <w:sz w:val="22"/>
          <w:lang w:val="en-CA"/>
        </w:rPr>
        <w:t>dB</w:t>
      </w:r>
      <w:r w:rsidRPr="0039674D">
        <w:rPr>
          <w:sz w:val="22"/>
          <w:lang w:val="en-CA"/>
        </w:rPr>
        <w:t xml:space="preserve"> and -12 ≤ Es/Iot &lt; -6</w:t>
      </w:r>
      <w:r>
        <w:rPr>
          <w:sz w:val="22"/>
          <w:lang w:val="en-CA"/>
        </w:rPr>
        <w:t>dB, under normal conditions.</w:t>
      </w:r>
    </w:p>
    <w:p w:rsidR="003E47E0" w:rsidRPr="00D001E8" w:rsidRDefault="003E47E0" w:rsidP="00D001E8">
      <w:pPr>
        <w:jc w:val="both"/>
        <w:rPr>
          <w:sz w:val="22"/>
          <w:lang w:val="en-CA"/>
        </w:rPr>
      </w:pPr>
    </w:p>
    <w:p w:rsidR="00643CF5" w:rsidRPr="003E47E0" w:rsidRDefault="00643CF5" w:rsidP="00643CF5">
      <w:pPr>
        <w:rPr>
          <w:color w:val="4F81BD" w:themeColor="accent1"/>
          <w:sz w:val="22"/>
          <w:szCs w:val="22"/>
        </w:rPr>
      </w:pPr>
      <w:r w:rsidRPr="003E47E0">
        <w:rPr>
          <w:color w:val="4F81BD" w:themeColor="accent1"/>
          <w:sz w:val="22"/>
          <w:szCs w:val="22"/>
        </w:rPr>
        <w:t>9.1.21.16</w:t>
      </w:r>
      <w:r w:rsidRPr="003E47E0">
        <w:rPr>
          <w:color w:val="4F81BD" w:themeColor="accent1"/>
          <w:sz w:val="22"/>
          <w:szCs w:val="22"/>
        </w:rPr>
        <w:tab/>
      </w:r>
      <w:r w:rsidRPr="003E47E0">
        <w:rPr>
          <w:color w:val="4F81BD" w:themeColor="accent1"/>
          <w:sz w:val="22"/>
          <w:szCs w:val="22"/>
        </w:rPr>
        <w:tab/>
      </w:r>
      <w:r w:rsidRPr="003E47E0">
        <w:rPr>
          <w:color w:val="4F81BD" w:themeColor="accent1"/>
          <w:sz w:val="22"/>
          <w:szCs w:val="22"/>
        </w:rPr>
        <w:tab/>
        <w:t>Inter-frequency Relative Accuracy of RSRQ for UE category M1 in CE mode B</w:t>
      </w:r>
    </w:p>
    <w:p w:rsidR="003E47E0" w:rsidRDefault="003E47E0" w:rsidP="003E47E0">
      <w:pPr>
        <w:rPr>
          <w:sz w:val="22"/>
          <w:lang w:val="en-CA"/>
        </w:rPr>
      </w:pPr>
      <w:r w:rsidRPr="00CD549B">
        <w:rPr>
          <w:sz w:val="22"/>
          <w:szCs w:val="22"/>
        </w:rPr>
        <w:t>Following</w:t>
      </w:r>
      <w:r>
        <w:rPr>
          <w:color w:val="FF0000"/>
          <w:sz w:val="22"/>
          <w:szCs w:val="22"/>
        </w:rPr>
        <w:t xml:space="preserve"> </w:t>
      </w:r>
      <w:r w:rsidRPr="00CD549B">
        <w:rPr>
          <w:sz w:val="22"/>
          <w:szCs w:val="22"/>
        </w:rPr>
        <w:t>the methodology in legacy</w:t>
      </w:r>
      <w:r>
        <w:rPr>
          <w:sz w:val="22"/>
          <w:szCs w:val="22"/>
        </w:rPr>
        <w:t xml:space="preserve"> (see </w:t>
      </w:r>
      <w:r>
        <w:rPr>
          <w:sz w:val="22"/>
          <w:szCs w:val="22"/>
        </w:rPr>
        <w:fldChar w:fldCharType="begin"/>
      </w:r>
      <w:r>
        <w:rPr>
          <w:sz w:val="22"/>
          <w:szCs w:val="22"/>
        </w:rPr>
        <w:instrText xml:space="preserve"> REF _Ref490041123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and compare 9.1.6.1 and 9.1.6.2), we propose the requirements to be based on the inter-frequency absolute tolerance plus an extra margin of 0.5dB. Hence we propose a requirement of ±5.5dB for both ranges </w:t>
      </w:r>
      <w:r w:rsidRPr="0039674D">
        <w:rPr>
          <w:sz w:val="22"/>
          <w:lang w:val="en-CA"/>
        </w:rPr>
        <w:t>-15 ≤ Es/Iot &lt; -12</w:t>
      </w:r>
      <w:r>
        <w:rPr>
          <w:sz w:val="22"/>
          <w:lang w:val="en-CA"/>
        </w:rPr>
        <w:t>dB</w:t>
      </w:r>
      <w:r w:rsidRPr="0039674D">
        <w:rPr>
          <w:sz w:val="22"/>
          <w:lang w:val="en-CA"/>
        </w:rPr>
        <w:t xml:space="preserve"> and -12 ≤ Es/Iot &lt; -6</w:t>
      </w:r>
      <w:r>
        <w:rPr>
          <w:sz w:val="22"/>
          <w:lang w:val="en-CA"/>
        </w:rPr>
        <w:t>dB, under normal conditions.</w:t>
      </w:r>
    </w:p>
    <w:p w:rsidR="00064071" w:rsidRPr="00643CF5" w:rsidRDefault="00064071" w:rsidP="00FE2523">
      <w:pPr>
        <w:rPr>
          <w:sz w:val="22"/>
        </w:rPr>
      </w:pPr>
    </w:p>
    <w:p w:rsidR="00BF7D73" w:rsidRDefault="00BF7D73" w:rsidP="00BF7D73">
      <w:pPr>
        <w:pStyle w:val="Heading1"/>
        <w:rPr>
          <w:lang w:val="en-CA"/>
        </w:rPr>
      </w:pPr>
      <w:r>
        <w:rPr>
          <w:lang w:val="en-CA"/>
        </w:rPr>
        <w:t>Summary and Conclusion</w:t>
      </w:r>
    </w:p>
    <w:p w:rsidR="00CC445D" w:rsidRPr="00CC445D" w:rsidRDefault="00CC445D" w:rsidP="00CC445D">
      <w:pPr>
        <w:rPr>
          <w:sz w:val="22"/>
          <w:lang w:val="en-CA"/>
        </w:rPr>
      </w:pPr>
      <w:r>
        <w:rPr>
          <w:sz w:val="22"/>
          <w:lang w:val="en-CA"/>
        </w:rPr>
        <w:t>We have proposed values for inter-frequency absolute and relative RSRP measurement accuracy requirements, and intra- and inter-frequency absolute and relative RSRQ measurement accuracy requirements, under normal conditions and, where applicable, lower Io range. These values may serve as starting point for discussing on extreme conditions and, where applicable, upper Io range.</w:t>
      </w:r>
    </w:p>
    <w:p w:rsidR="00BF7D73" w:rsidRPr="00BF7D73" w:rsidRDefault="00BF7D73" w:rsidP="00BF7D73">
      <w:pPr>
        <w:rPr>
          <w:sz w:val="22"/>
          <w:szCs w:val="22"/>
          <w:lang w:val="en-CA"/>
        </w:rPr>
      </w:pPr>
      <w:r w:rsidRPr="00BF7D73">
        <w:rPr>
          <w:sz w:val="22"/>
          <w:szCs w:val="22"/>
          <w:lang w:val="en-CA"/>
        </w:rPr>
        <w:t xml:space="preserve">A related CR </w:t>
      </w:r>
      <w:r w:rsidR="00CC445D">
        <w:rPr>
          <w:sz w:val="22"/>
          <w:szCs w:val="22"/>
          <w:lang w:val="en-CA"/>
        </w:rPr>
        <w:t xml:space="preserve">where the values are incorporated within brackets in 36.133 </w:t>
      </w:r>
      <w:r w:rsidRPr="00BF7D73">
        <w:rPr>
          <w:sz w:val="22"/>
          <w:szCs w:val="22"/>
          <w:lang w:val="en-CA"/>
        </w:rPr>
        <w:t xml:space="preserve">is provided in </w:t>
      </w:r>
      <w:r>
        <w:rPr>
          <w:sz w:val="22"/>
          <w:szCs w:val="22"/>
          <w:lang w:val="en-CA"/>
        </w:rPr>
        <w:fldChar w:fldCharType="begin"/>
      </w:r>
      <w:r>
        <w:rPr>
          <w:sz w:val="22"/>
          <w:szCs w:val="22"/>
          <w:lang w:val="en-CA"/>
        </w:rPr>
        <w:instrText xml:space="preserve"> REF _Ref490040381 \r \h </w:instrText>
      </w:r>
      <w:r>
        <w:rPr>
          <w:sz w:val="22"/>
          <w:szCs w:val="22"/>
          <w:lang w:val="en-CA"/>
        </w:rPr>
      </w:r>
      <w:r>
        <w:rPr>
          <w:sz w:val="22"/>
          <w:szCs w:val="22"/>
          <w:lang w:val="en-CA"/>
        </w:rPr>
        <w:fldChar w:fldCharType="separate"/>
      </w:r>
      <w:r>
        <w:rPr>
          <w:sz w:val="22"/>
          <w:szCs w:val="22"/>
          <w:lang w:val="en-CA"/>
        </w:rPr>
        <w:t>[3]</w:t>
      </w:r>
      <w:r>
        <w:rPr>
          <w:sz w:val="22"/>
          <w:szCs w:val="22"/>
          <w:lang w:val="en-CA"/>
        </w:rPr>
        <w:fldChar w:fldCharType="end"/>
      </w:r>
      <w:r w:rsidR="00B40517">
        <w:rPr>
          <w:sz w:val="22"/>
          <w:szCs w:val="22"/>
          <w:lang w:val="en-CA"/>
        </w:rPr>
        <w:t>.</w:t>
      </w:r>
    </w:p>
    <w:p w:rsidR="00BD2156" w:rsidRPr="00862C73" w:rsidRDefault="00D80957" w:rsidP="00BB4411">
      <w:pPr>
        <w:pStyle w:val="Heading1"/>
        <w:pBdr>
          <w:top w:val="single" w:sz="12" w:space="2" w:color="auto"/>
        </w:pBdr>
        <w:rPr>
          <w:sz w:val="32"/>
          <w:lang w:val="en-CA"/>
        </w:rPr>
      </w:pPr>
      <w:r w:rsidRPr="00862C73">
        <w:rPr>
          <w:sz w:val="32"/>
          <w:lang w:val="en-CA"/>
        </w:rPr>
        <w:lastRenderedPageBreak/>
        <w:t>References</w:t>
      </w:r>
      <w:bookmarkEnd w:id="0"/>
      <w:bookmarkEnd w:id="1"/>
    </w:p>
    <w:p w:rsidR="006C15EF" w:rsidRDefault="00CC7994" w:rsidP="00021BBA">
      <w:pPr>
        <w:numPr>
          <w:ilvl w:val="0"/>
          <w:numId w:val="9"/>
        </w:numPr>
        <w:tabs>
          <w:tab w:val="left" w:pos="851"/>
        </w:tabs>
        <w:rPr>
          <w:rFonts w:ascii="Arial" w:hAnsi="Arial" w:cs="Arial"/>
          <w:sz w:val="22"/>
          <w:szCs w:val="22"/>
          <w:lang w:val="en-CA"/>
        </w:rPr>
      </w:pPr>
      <w:bookmarkStart w:id="4" w:name="_Ref490041123"/>
      <w:r w:rsidRPr="00862C73">
        <w:rPr>
          <w:rFonts w:ascii="Arial" w:hAnsi="Arial" w:cs="Arial"/>
          <w:sz w:val="22"/>
          <w:szCs w:val="22"/>
          <w:lang w:val="en-CA"/>
        </w:rPr>
        <w:t>36.133</w:t>
      </w:r>
      <w:bookmarkEnd w:id="4"/>
    </w:p>
    <w:p w:rsidR="00BE15CF" w:rsidRDefault="00BE15CF" w:rsidP="00021BBA">
      <w:pPr>
        <w:numPr>
          <w:ilvl w:val="0"/>
          <w:numId w:val="9"/>
        </w:numPr>
        <w:tabs>
          <w:tab w:val="left" w:pos="851"/>
        </w:tabs>
        <w:rPr>
          <w:rFonts w:ascii="Arial" w:hAnsi="Arial" w:cs="Arial"/>
          <w:sz w:val="22"/>
          <w:szCs w:val="22"/>
          <w:lang w:val="en-CA"/>
        </w:rPr>
      </w:pPr>
      <w:bookmarkStart w:id="5" w:name="_Ref490035630"/>
      <w:r>
        <w:rPr>
          <w:rFonts w:ascii="Arial" w:hAnsi="Arial" w:cs="Arial"/>
          <w:sz w:val="22"/>
          <w:szCs w:val="22"/>
          <w:lang w:val="en-CA"/>
        </w:rPr>
        <w:t>R4-144891 “</w:t>
      </w:r>
      <w:r w:rsidRPr="00BE15CF">
        <w:rPr>
          <w:rFonts w:ascii="Arial" w:hAnsi="Arial" w:cs="Arial"/>
          <w:sz w:val="22"/>
          <w:szCs w:val="22"/>
          <w:lang w:val="en-CA"/>
        </w:rPr>
        <w:t>Tightening RSRP accuracy requirements</w:t>
      </w:r>
      <w:r>
        <w:rPr>
          <w:rFonts w:ascii="Arial" w:hAnsi="Arial" w:cs="Arial"/>
          <w:sz w:val="22"/>
          <w:szCs w:val="22"/>
          <w:lang w:val="en-CA"/>
        </w:rPr>
        <w:t>", Ericsson</w:t>
      </w:r>
      <w:bookmarkEnd w:id="5"/>
    </w:p>
    <w:p w:rsidR="00BF7D73" w:rsidRDefault="00BF7D73" w:rsidP="00021BBA">
      <w:pPr>
        <w:numPr>
          <w:ilvl w:val="0"/>
          <w:numId w:val="9"/>
        </w:numPr>
        <w:tabs>
          <w:tab w:val="left" w:pos="851"/>
        </w:tabs>
        <w:rPr>
          <w:rFonts w:ascii="Arial" w:hAnsi="Arial" w:cs="Arial"/>
          <w:sz w:val="22"/>
          <w:szCs w:val="22"/>
          <w:lang w:val="en-CA"/>
        </w:rPr>
      </w:pPr>
      <w:bookmarkStart w:id="6" w:name="_Ref490040381"/>
      <w:r>
        <w:rPr>
          <w:rFonts w:ascii="Arial" w:hAnsi="Arial" w:cs="Arial"/>
          <w:sz w:val="22"/>
          <w:szCs w:val="22"/>
          <w:lang w:val="en-CA"/>
        </w:rPr>
        <w:t>R4-170</w:t>
      </w:r>
      <w:r w:rsidR="00FB1906" w:rsidRPr="00FB1906">
        <w:rPr>
          <w:rFonts w:ascii="Arial" w:hAnsi="Arial" w:cs="Arial"/>
          <w:sz w:val="22"/>
          <w:szCs w:val="22"/>
          <w:lang w:val="en-CA"/>
        </w:rPr>
        <w:t>8314</w:t>
      </w:r>
      <w:bookmarkStart w:id="7" w:name="_GoBack"/>
      <w:bookmarkEnd w:id="7"/>
      <w:r w:rsidRPr="00BF7D73">
        <w:rPr>
          <w:rFonts w:ascii="Arial" w:hAnsi="Arial" w:cs="Arial"/>
          <w:sz w:val="22"/>
          <w:szCs w:val="22"/>
          <w:lang w:val="en-CA"/>
        </w:rPr>
        <w:t xml:space="preserve"> “</w:t>
      </w:r>
      <w:r w:rsidR="00F963E0" w:rsidRPr="00F963E0">
        <w:rPr>
          <w:rFonts w:ascii="Arial" w:hAnsi="Arial" w:cs="Arial"/>
          <w:sz w:val="22"/>
          <w:szCs w:val="22"/>
          <w:lang w:val="en-CA"/>
        </w:rPr>
        <w:t>CR on 36.133 Intra and inter-frequency RSRP and RSRQ measurement accuracies for UE cat M1</w:t>
      </w:r>
      <w:r>
        <w:rPr>
          <w:rFonts w:ascii="Arial" w:hAnsi="Arial" w:cs="Arial"/>
          <w:sz w:val="22"/>
          <w:szCs w:val="22"/>
          <w:lang w:val="en-CA"/>
        </w:rPr>
        <w:t>”, Ericsson</w:t>
      </w:r>
      <w:bookmarkEnd w:id="6"/>
    </w:p>
    <w:p w:rsidR="009F15C9" w:rsidRDefault="009F15C9" w:rsidP="009F15C9">
      <w:pPr>
        <w:tabs>
          <w:tab w:val="left" w:pos="851"/>
        </w:tabs>
        <w:rPr>
          <w:rFonts w:ascii="Arial" w:hAnsi="Arial" w:cs="Arial"/>
          <w:sz w:val="22"/>
          <w:szCs w:val="22"/>
          <w:lang w:val="en-CA"/>
        </w:rPr>
      </w:pPr>
    </w:p>
    <w:p w:rsidR="009F15C9" w:rsidRDefault="009F15C9" w:rsidP="009F15C9">
      <w:pPr>
        <w:pStyle w:val="Heading1"/>
        <w:rPr>
          <w:lang w:val="en-CA"/>
        </w:rPr>
      </w:pPr>
      <w:r>
        <w:rPr>
          <w:lang w:val="en-CA"/>
        </w:rPr>
        <w:t>Appendix</w:t>
      </w:r>
    </w:p>
    <w:p w:rsidR="003E47E0" w:rsidRPr="00862C73" w:rsidRDefault="003E47E0" w:rsidP="003E47E0">
      <w:pPr>
        <w:pStyle w:val="Heading2"/>
        <w:rPr>
          <w:lang w:val="en-CA"/>
        </w:rPr>
      </w:pPr>
      <w:r w:rsidRPr="00862C73">
        <w:rPr>
          <w:lang w:val="en-CA"/>
        </w:rPr>
        <w:t>RSRP and RSRQ Measurement approach</w:t>
      </w:r>
    </w:p>
    <w:p w:rsidR="003E47E0" w:rsidRPr="002B27E4" w:rsidRDefault="003E47E0" w:rsidP="003E47E0">
      <w:pPr>
        <w:jc w:val="both"/>
        <w:rPr>
          <w:sz w:val="22"/>
          <w:szCs w:val="22"/>
          <w:lang w:val="en-CA" w:eastAsia="ja-JP"/>
        </w:rPr>
      </w:pPr>
      <w:r w:rsidRPr="002B27E4">
        <w:rPr>
          <w:sz w:val="22"/>
          <w:szCs w:val="22"/>
          <w:lang w:val="en-CA" w:eastAsia="ja-JP"/>
        </w:rPr>
        <w:t>The legacy requirements on measurement accuracy in static (AWGN) conditions can be met by coherently averaging 8 CRSs, calculate the power, and then average such power estimates non-coherently over 2x5 subframes. The coherent averaging reduces the bias and the non-coherent averaging the variance of the RSRP estimate. The increase in S</w:t>
      </w:r>
      <w:r>
        <w:rPr>
          <w:sz w:val="22"/>
          <w:szCs w:val="22"/>
          <w:lang w:val="en-CA" w:eastAsia="ja-JP"/>
        </w:rPr>
        <w:t>I</w:t>
      </w:r>
      <w:r w:rsidRPr="002B27E4">
        <w:rPr>
          <w:sz w:val="22"/>
          <w:szCs w:val="22"/>
          <w:lang w:val="en-CA" w:eastAsia="ja-JP"/>
        </w:rPr>
        <w:t>NR achieved by the coherent averaging is 3dB for every doubling of the number of coherently averaged CRSs. Hence when deriving the legacy requirements an S</w:t>
      </w:r>
      <w:r>
        <w:rPr>
          <w:sz w:val="22"/>
          <w:szCs w:val="22"/>
          <w:lang w:val="en-CA" w:eastAsia="ja-JP"/>
        </w:rPr>
        <w:t>I</w:t>
      </w:r>
      <w:r w:rsidRPr="002B27E4">
        <w:rPr>
          <w:sz w:val="22"/>
          <w:szCs w:val="22"/>
          <w:lang w:val="en-CA" w:eastAsia="ja-JP"/>
        </w:rPr>
        <w:t>NR increase of 9dB was achieved, allowing measurement accuracy requirements to be fulfilled at least down to Ês/Iot -6dB.</w:t>
      </w:r>
    </w:p>
    <w:p w:rsidR="003E47E0" w:rsidRDefault="003E47E0" w:rsidP="003E47E0">
      <w:pPr>
        <w:jc w:val="both"/>
        <w:rPr>
          <w:sz w:val="22"/>
          <w:szCs w:val="22"/>
          <w:lang w:val="en-CA" w:eastAsia="ja-JP"/>
        </w:rPr>
      </w:pPr>
      <w:r w:rsidRPr="005F7972">
        <w:rPr>
          <w:sz w:val="22"/>
          <w:szCs w:val="22"/>
          <w:lang w:val="en-CA" w:eastAsia="ja-JP"/>
        </w:rPr>
        <w:t>To be able to accurately support enhan</w:t>
      </w:r>
      <w:r>
        <w:rPr>
          <w:sz w:val="22"/>
          <w:szCs w:val="22"/>
          <w:lang w:val="en-CA" w:eastAsia="ja-JP"/>
        </w:rPr>
        <w:t>ced coverage down to Ês/Iot -15dB</w:t>
      </w:r>
      <w:r w:rsidRPr="005F7972">
        <w:rPr>
          <w:sz w:val="22"/>
          <w:szCs w:val="22"/>
          <w:lang w:val="en-CA" w:eastAsia="ja-JP"/>
        </w:rPr>
        <w:t xml:space="preserve">, the coherent averaging needs to include more samples to provide sufficient number of REs containing CRS compared to that of an individual CRS. Using all CRSs in two adjacent subframes </w:t>
      </w:r>
      <w:r>
        <w:rPr>
          <w:sz w:val="22"/>
          <w:szCs w:val="22"/>
          <w:lang w:val="en-CA" w:eastAsia="ja-JP"/>
        </w:rPr>
        <w:t>provides 96 CRSs, which allows for an SINR increase of about 10.8dB and thus would allow Ês/Iot down to -16.8 dB to be supported. However, increasing the time and frequency window over which the REs are coherently averaged makes the result sensitive to time- and frequency characteristics of the propagation channel, as well as to carrier frequency offset. Therefore, the performance gain by increasing the number of REs in general is smaller than in theory.</w:t>
      </w:r>
    </w:p>
    <w:p w:rsidR="003E47E0" w:rsidRPr="00862C73" w:rsidRDefault="003E47E0" w:rsidP="003E47E0">
      <w:pPr>
        <w:jc w:val="both"/>
        <w:rPr>
          <w:sz w:val="22"/>
          <w:szCs w:val="22"/>
          <w:lang w:val="en-CA" w:eastAsia="ja-JP"/>
        </w:rPr>
      </w:pPr>
      <w:r w:rsidRPr="005F7972">
        <w:rPr>
          <w:sz w:val="22"/>
          <w:szCs w:val="22"/>
          <w:lang w:val="en-CA" w:eastAsia="ja-JP"/>
        </w:rPr>
        <w:t xml:space="preserve">The two sizes of coherent averages are shown in </w:t>
      </w:r>
      <w:r w:rsidRPr="005F7972">
        <w:rPr>
          <w:sz w:val="22"/>
          <w:szCs w:val="22"/>
          <w:lang w:val="en-CA" w:eastAsia="ja-JP"/>
        </w:rPr>
        <w:fldChar w:fldCharType="begin"/>
      </w:r>
      <w:r w:rsidRPr="005F7972">
        <w:rPr>
          <w:sz w:val="22"/>
          <w:szCs w:val="22"/>
          <w:lang w:val="en-CA" w:eastAsia="ja-JP"/>
        </w:rPr>
        <w:instrText xml:space="preserve"> REF _Ref416707870 \h  \* MERGEFORMAT </w:instrText>
      </w:r>
      <w:r w:rsidRPr="005F7972">
        <w:rPr>
          <w:sz w:val="22"/>
          <w:szCs w:val="22"/>
          <w:lang w:val="en-CA" w:eastAsia="ja-JP"/>
        </w:rPr>
      </w:r>
      <w:r w:rsidRPr="005F7972">
        <w:rPr>
          <w:sz w:val="22"/>
          <w:szCs w:val="22"/>
          <w:lang w:val="en-CA" w:eastAsia="ja-JP"/>
        </w:rPr>
        <w:fldChar w:fldCharType="separate"/>
      </w:r>
      <w:r w:rsidRPr="005F7972">
        <w:rPr>
          <w:sz w:val="22"/>
          <w:szCs w:val="22"/>
          <w:lang w:val="en-CA"/>
        </w:rPr>
        <w:t xml:space="preserve">Figure </w:t>
      </w:r>
      <w:r w:rsidRPr="005F7972">
        <w:rPr>
          <w:noProof/>
          <w:sz w:val="22"/>
          <w:szCs w:val="22"/>
          <w:lang w:val="en-CA"/>
        </w:rPr>
        <w:t>1</w:t>
      </w:r>
      <w:r w:rsidRPr="005F7972">
        <w:rPr>
          <w:sz w:val="22"/>
          <w:szCs w:val="22"/>
          <w:lang w:val="en-CA" w:eastAsia="ja-JP"/>
        </w:rPr>
        <w:fldChar w:fldCharType="end"/>
      </w:r>
      <w:r w:rsidRPr="005F7972">
        <w:rPr>
          <w:sz w:val="22"/>
          <w:szCs w:val="22"/>
          <w:lang w:val="en-CA" w:eastAsia="ja-JP"/>
        </w:rPr>
        <w:t>.</w:t>
      </w:r>
      <w:r w:rsidRPr="00862C73">
        <w:rPr>
          <w:sz w:val="22"/>
          <w:szCs w:val="22"/>
          <w:lang w:val="en-CA" w:eastAsia="ja-JP"/>
        </w:rPr>
        <w:t xml:space="preserve"> </w:t>
      </w:r>
    </w:p>
    <w:p w:rsidR="003E47E0" w:rsidRPr="00862C73" w:rsidRDefault="003E47E0" w:rsidP="003E47E0">
      <w:pPr>
        <w:keepNext/>
        <w:jc w:val="center"/>
        <w:rPr>
          <w:lang w:val="en-CA"/>
        </w:rPr>
      </w:pPr>
      <w:r w:rsidRPr="00862C73">
        <w:rPr>
          <w:lang w:val="en-CA"/>
        </w:rPr>
        <w:object w:dxaOrig="8955"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9.75pt" o:ole="">
            <v:imagedata r:id="rId8" o:title=""/>
          </v:shape>
          <o:OLEObject Type="Embed" ProgID="Visio.Drawing.15" ShapeID="_x0000_i1025" DrawAspect="Content" ObjectID="_1563968389" r:id="rId9"/>
        </w:object>
      </w:r>
    </w:p>
    <w:p w:rsidR="003E47E0" w:rsidRPr="00C43400" w:rsidRDefault="003E47E0" w:rsidP="003E47E0">
      <w:pPr>
        <w:pStyle w:val="Caption"/>
        <w:jc w:val="both"/>
        <w:rPr>
          <w:b w:val="0"/>
          <w:sz w:val="22"/>
          <w:lang w:val="en-CA"/>
        </w:rPr>
      </w:pPr>
      <w:bookmarkStart w:id="8" w:name="_Ref416707870"/>
      <w:r w:rsidRPr="00862C73">
        <w:rPr>
          <w:sz w:val="22"/>
          <w:lang w:val="en-CA"/>
        </w:rPr>
        <w:t xml:space="preserve">Figure </w:t>
      </w:r>
      <w:r w:rsidRPr="00862C73">
        <w:rPr>
          <w:sz w:val="22"/>
          <w:lang w:val="en-CA"/>
        </w:rPr>
        <w:fldChar w:fldCharType="begin"/>
      </w:r>
      <w:r w:rsidRPr="00862C73">
        <w:rPr>
          <w:sz w:val="22"/>
          <w:lang w:val="en-CA"/>
        </w:rPr>
        <w:instrText xml:space="preserve"> SEQ Figure \* ARABIC </w:instrText>
      </w:r>
      <w:r w:rsidRPr="00862C73">
        <w:rPr>
          <w:sz w:val="22"/>
          <w:lang w:val="en-CA"/>
        </w:rPr>
        <w:fldChar w:fldCharType="separate"/>
      </w:r>
      <w:r>
        <w:rPr>
          <w:noProof/>
          <w:sz w:val="22"/>
          <w:lang w:val="en-CA"/>
        </w:rPr>
        <w:t>1</w:t>
      </w:r>
      <w:r w:rsidRPr="00862C73">
        <w:rPr>
          <w:sz w:val="22"/>
          <w:lang w:val="en-CA"/>
        </w:rPr>
        <w:fldChar w:fldCharType="end"/>
      </w:r>
      <w:bookmarkEnd w:id="8"/>
      <w:r w:rsidRPr="00862C73">
        <w:rPr>
          <w:sz w:val="22"/>
          <w:lang w:val="en-CA"/>
        </w:rPr>
        <w:t xml:space="preserve">: </w:t>
      </w:r>
      <w:r w:rsidRPr="00C43400">
        <w:rPr>
          <w:b w:val="0"/>
          <w:sz w:val="22"/>
          <w:lang w:val="en-CA"/>
        </w:rPr>
        <w:t>Illustration of (left) coherent averaging based on 8 CRSs and (right) on 96 CRSs. The former can increase the SINR by 9dB and the latter by 19.8 dB.</w:t>
      </w:r>
    </w:p>
    <w:p w:rsidR="003E47E0" w:rsidRPr="00862C73" w:rsidRDefault="003E47E0" w:rsidP="003E47E0">
      <w:pPr>
        <w:rPr>
          <w:lang w:val="en-CA" w:eastAsia="ja-JP"/>
        </w:rPr>
      </w:pPr>
    </w:p>
    <w:p w:rsidR="003E47E0" w:rsidRDefault="003E47E0" w:rsidP="003E47E0">
      <w:pPr>
        <w:pStyle w:val="Heading2"/>
        <w:rPr>
          <w:lang w:val="en-CA" w:eastAsia="ja-JP"/>
        </w:rPr>
      </w:pPr>
      <w:r>
        <w:rPr>
          <w:lang w:val="en-CA" w:eastAsia="ja-JP"/>
        </w:rPr>
        <w:t>Simulation assumptions</w:t>
      </w:r>
    </w:p>
    <w:p w:rsidR="003E47E0" w:rsidRPr="0000376E" w:rsidRDefault="003E47E0" w:rsidP="003E47E0">
      <w:pPr>
        <w:spacing w:before="240" w:after="60"/>
        <w:jc w:val="center"/>
        <w:rPr>
          <w:b/>
          <w:bCs/>
          <w:sz w:val="28"/>
          <w:lang w:val="en-CA"/>
        </w:rPr>
      </w:pPr>
    </w:p>
    <w:p w:rsidR="003E47E0" w:rsidRPr="0000376E" w:rsidRDefault="003E47E0" w:rsidP="003E47E0">
      <w:pPr>
        <w:pStyle w:val="Caption"/>
        <w:keepNext/>
        <w:rPr>
          <w:sz w:val="22"/>
          <w:lang w:val="en-US"/>
        </w:rPr>
      </w:pPr>
      <w:bookmarkStart w:id="9" w:name="_Ref481677089"/>
      <w:r w:rsidRPr="0000376E">
        <w:rPr>
          <w:sz w:val="22"/>
          <w:lang w:val="en-US"/>
        </w:rPr>
        <w:t xml:space="preserve">Table </w:t>
      </w:r>
      <w:r w:rsidRPr="0000376E">
        <w:rPr>
          <w:sz w:val="22"/>
        </w:rPr>
        <w:fldChar w:fldCharType="begin"/>
      </w:r>
      <w:r w:rsidRPr="0000376E">
        <w:rPr>
          <w:sz w:val="22"/>
          <w:lang w:val="en-US"/>
        </w:rPr>
        <w:instrText xml:space="preserve"> SEQ Table \* ARABIC </w:instrText>
      </w:r>
      <w:r w:rsidRPr="0000376E">
        <w:rPr>
          <w:sz w:val="22"/>
        </w:rPr>
        <w:fldChar w:fldCharType="separate"/>
      </w:r>
      <w:r w:rsidR="00064071">
        <w:rPr>
          <w:noProof/>
          <w:sz w:val="22"/>
          <w:lang w:val="en-US"/>
        </w:rPr>
        <w:t>3</w:t>
      </w:r>
      <w:r w:rsidRPr="0000376E">
        <w:rPr>
          <w:sz w:val="22"/>
        </w:rPr>
        <w:fldChar w:fldCharType="end"/>
      </w:r>
      <w:bookmarkEnd w:id="9"/>
      <w:r w:rsidRPr="0000376E">
        <w:rPr>
          <w:sz w:val="22"/>
          <w:lang w:val="en-US"/>
        </w:rPr>
        <w:t xml:space="preserve">: </w:t>
      </w:r>
      <w:r w:rsidRPr="0000376E">
        <w:rPr>
          <w:b w:val="0"/>
          <w:sz w:val="22"/>
          <w:lang w:val="en-US"/>
        </w:rPr>
        <w:t xml:space="preserve">Simulation parameters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409"/>
        <w:gridCol w:w="4111"/>
      </w:tblGrid>
      <w:tr w:rsidR="003E47E0" w:rsidRPr="00862C73" w:rsidTr="00BE172D">
        <w:trPr>
          <w:jc w:val="center"/>
        </w:trPr>
        <w:tc>
          <w:tcPr>
            <w:tcW w:w="2694" w:type="dxa"/>
            <w:shd w:val="clear" w:color="auto" w:fill="auto"/>
          </w:tcPr>
          <w:p w:rsidR="003E47E0" w:rsidRPr="00862C73" w:rsidRDefault="003E47E0" w:rsidP="00BE172D">
            <w:pPr>
              <w:spacing w:after="0"/>
              <w:jc w:val="center"/>
              <w:rPr>
                <w:b/>
                <w:bCs/>
                <w:lang w:val="en-CA"/>
              </w:rPr>
            </w:pPr>
            <w:r w:rsidRPr="00862C73">
              <w:rPr>
                <w:b/>
                <w:bCs/>
                <w:lang w:val="en-CA"/>
              </w:rPr>
              <w:t>Parameters</w:t>
            </w:r>
          </w:p>
        </w:tc>
        <w:tc>
          <w:tcPr>
            <w:tcW w:w="2409" w:type="dxa"/>
            <w:shd w:val="clear" w:color="auto" w:fill="auto"/>
          </w:tcPr>
          <w:p w:rsidR="003E47E0" w:rsidRPr="00862C73" w:rsidRDefault="003E47E0" w:rsidP="00BE172D">
            <w:pPr>
              <w:spacing w:after="0"/>
              <w:jc w:val="center"/>
              <w:rPr>
                <w:b/>
                <w:bCs/>
                <w:lang w:val="en-CA"/>
              </w:rPr>
            </w:pPr>
            <w:r w:rsidRPr="00862C73">
              <w:rPr>
                <w:b/>
                <w:bCs/>
                <w:lang w:val="en-CA"/>
              </w:rPr>
              <w:t>Value</w:t>
            </w:r>
          </w:p>
        </w:tc>
        <w:tc>
          <w:tcPr>
            <w:tcW w:w="4111" w:type="dxa"/>
            <w:shd w:val="clear" w:color="auto" w:fill="auto"/>
          </w:tcPr>
          <w:p w:rsidR="003E47E0" w:rsidRPr="00862C73" w:rsidRDefault="003E47E0" w:rsidP="00BE172D">
            <w:pPr>
              <w:spacing w:after="0"/>
              <w:jc w:val="center"/>
              <w:rPr>
                <w:b/>
                <w:bCs/>
                <w:lang w:val="en-CA"/>
              </w:rPr>
            </w:pPr>
            <w:r w:rsidRPr="00862C73">
              <w:rPr>
                <w:b/>
                <w:bCs/>
                <w:lang w:val="en-CA"/>
              </w:rPr>
              <w:t>Comments</w:t>
            </w: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Measurement bandwidth</w:t>
            </w:r>
          </w:p>
        </w:tc>
        <w:tc>
          <w:tcPr>
            <w:tcW w:w="2409" w:type="dxa"/>
            <w:shd w:val="clear" w:color="auto" w:fill="auto"/>
          </w:tcPr>
          <w:p w:rsidR="003E47E0" w:rsidRPr="00862C73" w:rsidRDefault="003E47E0" w:rsidP="00BE172D">
            <w:pPr>
              <w:spacing w:after="0"/>
              <w:ind w:leftChars="119" w:left="238"/>
              <w:jc w:val="center"/>
              <w:rPr>
                <w:lang w:val="en-CA" w:eastAsia="zh-CN"/>
              </w:rPr>
            </w:pPr>
            <w:r w:rsidRPr="00862C73">
              <w:rPr>
                <w:lang w:val="en-CA" w:eastAsia="zh-CN"/>
              </w:rPr>
              <w:t>6 RBs</w:t>
            </w:r>
          </w:p>
        </w:tc>
        <w:tc>
          <w:tcPr>
            <w:tcW w:w="4111" w:type="dxa"/>
            <w:shd w:val="clear" w:color="auto" w:fill="auto"/>
          </w:tcPr>
          <w:p w:rsidR="003E47E0" w:rsidRPr="00862C73" w:rsidRDefault="003E47E0" w:rsidP="00BE172D">
            <w:pPr>
              <w:spacing w:after="0"/>
              <w:rPr>
                <w:lang w:val="en-CA"/>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bookmarkStart w:id="10" w:name="OLE_LINK29"/>
            <w:bookmarkStart w:id="11" w:name="OLE_LINK30"/>
            <w:r w:rsidRPr="00862C73">
              <w:rPr>
                <w:lang w:val="en-CA"/>
              </w:rPr>
              <w:t>L1 measurement period</w:t>
            </w:r>
            <w:bookmarkEnd w:id="10"/>
            <w:bookmarkEnd w:id="11"/>
          </w:p>
        </w:tc>
        <w:tc>
          <w:tcPr>
            <w:tcW w:w="2409" w:type="dxa"/>
            <w:shd w:val="clear" w:color="auto" w:fill="auto"/>
          </w:tcPr>
          <w:p w:rsidR="003E47E0" w:rsidRDefault="003E47E0" w:rsidP="00BE172D">
            <w:pPr>
              <w:spacing w:after="0"/>
              <w:jc w:val="center"/>
              <w:rPr>
                <w:lang w:val="en-CA" w:eastAsia="zh-CN"/>
              </w:rPr>
            </w:pPr>
            <w:r>
              <w:rPr>
                <w:lang w:val="en-CA" w:eastAsia="zh-CN"/>
              </w:rPr>
              <w:t>960</w:t>
            </w:r>
            <w:r w:rsidRPr="00862C73">
              <w:rPr>
                <w:lang w:val="en-CA" w:eastAsia="zh-CN"/>
              </w:rPr>
              <w:t xml:space="preserve"> ms</w:t>
            </w:r>
            <w:r>
              <w:rPr>
                <w:lang w:val="en-CA" w:eastAsia="zh-CN"/>
              </w:rPr>
              <w:t xml:space="preserve"> (CE mode A)</w:t>
            </w:r>
          </w:p>
          <w:p w:rsidR="003E47E0" w:rsidRPr="00862C73" w:rsidRDefault="003E47E0" w:rsidP="00BE172D">
            <w:pPr>
              <w:spacing w:after="0"/>
              <w:jc w:val="center"/>
              <w:rPr>
                <w:lang w:val="en-CA" w:eastAsia="zh-CN"/>
              </w:rPr>
            </w:pPr>
            <w:r>
              <w:rPr>
                <w:lang w:val="en-CA" w:eastAsia="zh-CN"/>
              </w:rPr>
              <w:lastRenderedPageBreak/>
              <w:t>1600 ms (CE mode B)</w:t>
            </w:r>
          </w:p>
        </w:tc>
        <w:tc>
          <w:tcPr>
            <w:tcW w:w="4111" w:type="dxa"/>
            <w:shd w:val="clear" w:color="auto" w:fill="auto"/>
          </w:tcPr>
          <w:p w:rsidR="003E47E0" w:rsidRPr="00862C73" w:rsidRDefault="003E47E0" w:rsidP="00BE172D">
            <w:pPr>
              <w:spacing w:after="0"/>
              <w:rPr>
                <w:lang w:val="en-CA"/>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Measurement sampling rate</w:t>
            </w:r>
          </w:p>
        </w:tc>
        <w:tc>
          <w:tcPr>
            <w:tcW w:w="2409" w:type="dxa"/>
            <w:shd w:val="clear" w:color="auto" w:fill="auto"/>
          </w:tcPr>
          <w:p w:rsidR="003E47E0" w:rsidRPr="00862C73" w:rsidRDefault="003E47E0" w:rsidP="00BE172D">
            <w:pPr>
              <w:spacing w:after="0"/>
              <w:jc w:val="center"/>
              <w:rPr>
                <w:lang w:val="en-CA" w:eastAsia="zh-CN"/>
              </w:rPr>
            </w:pPr>
            <w:r>
              <w:rPr>
                <w:lang w:val="en-CA" w:eastAsia="zh-CN"/>
              </w:rPr>
              <w:t>8</w:t>
            </w:r>
            <w:r w:rsidRPr="00862C73">
              <w:rPr>
                <w:lang w:val="en-CA" w:eastAsia="zh-CN"/>
              </w:rPr>
              <w:t>0ms</w:t>
            </w:r>
          </w:p>
          <w:p w:rsidR="003E47E0" w:rsidRPr="00862C73" w:rsidRDefault="003E47E0" w:rsidP="00BE172D">
            <w:pPr>
              <w:spacing w:after="0"/>
              <w:jc w:val="center"/>
              <w:rPr>
                <w:lang w:val="en-CA" w:eastAsia="zh-CN"/>
              </w:rPr>
            </w:pPr>
          </w:p>
        </w:tc>
        <w:tc>
          <w:tcPr>
            <w:tcW w:w="4111" w:type="dxa"/>
            <w:shd w:val="clear" w:color="auto" w:fill="auto"/>
          </w:tcPr>
          <w:p w:rsidR="003E47E0" w:rsidRPr="00862C73" w:rsidRDefault="003E47E0" w:rsidP="00BE172D">
            <w:pPr>
              <w:spacing w:after="0"/>
              <w:rPr>
                <w:lang w:val="en-CA" w:eastAsia="zh-CN"/>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eastAsia="zh-CN"/>
              </w:rPr>
            </w:pPr>
            <w:r w:rsidRPr="00862C73">
              <w:rPr>
                <w:lang w:val="en-CA" w:eastAsia="zh-CN"/>
              </w:rPr>
              <w:t>Consecutive subframes used</w:t>
            </w:r>
          </w:p>
        </w:tc>
        <w:tc>
          <w:tcPr>
            <w:tcW w:w="2409" w:type="dxa"/>
            <w:shd w:val="clear" w:color="auto" w:fill="auto"/>
          </w:tcPr>
          <w:p w:rsidR="003E47E0" w:rsidRPr="00862C73" w:rsidRDefault="003E47E0" w:rsidP="00BE172D">
            <w:pPr>
              <w:spacing w:after="0"/>
              <w:jc w:val="center"/>
              <w:rPr>
                <w:lang w:val="en-CA" w:eastAsia="zh-CN"/>
              </w:rPr>
            </w:pPr>
            <w:r w:rsidRPr="00862C73">
              <w:rPr>
                <w:lang w:val="en-CA" w:eastAsia="zh-CN"/>
              </w:rPr>
              <w:t>2</w:t>
            </w:r>
          </w:p>
        </w:tc>
        <w:tc>
          <w:tcPr>
            <w:tcW w:w="4111" w:type="dxa"/>
            <w:shd w:val="clear" w:color="auto" w:fill="auto"/>
          </w:tcPr>
          <w:p w:rsidR="003E47E0" w:rsidRPr="00862C73" w:rsidRDefault="003E47E0" w:rsidP="00BE172D">
            <w:pPr>
              <w:spacing w:after="0"/>
              <w:rPr>
                <w:lang w:val="en-CA" w:eastAsia="zh-CN"/>
              </w:rPr>
            </w:pPr>
            <w:r>
              <w:rPr>
                <w:lang w:val="en-CA" w:eastAsia="zh-CN"/>
              </w:rPr>
              <w:t>Coherent averaging over 96 REs</w:t>
            </w: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L3 filtering</w:t>
            </w:r>
          </w:p>
        </w:tc>
        <w:tc>
          <w:tcPr>
            <w:tcW w:w="2409" w:type="dxa"/>
            <w:shd w:val="clear" w:color="auto" w:fill="auto"/>
          </w:tcPr>
          <w:p w:rsidR="003E47E0" w:rsidRPr="00862C73" w:rsidRDefault="003E47E0" w:rsidP="00BE172D">
            <w:pPr>
              <w:spacing w:after="0"/>
              <w:jc w:val="center"/>
              <w:rPr>
                <w:lang w:val="en-CA"/>
              </w:rPr>
            </w:pPr>
            <w:r w:rsidRPr="00862C73">
              <w:rPr>
                <w:lang w:val="en-CA"/>
              </w:rPr>
              <w:t>Disabled</w:t>
            </w:r>
          </w:p>
        </w:tc>
        <w:tc>
          <w:tcPr>
            <w:tcW w:w="4111" w:type="dxa"/>
            <w:shd w:val="clear" w:color="auto" w:fill="auto"/>
          </w:tcPr>
          <w:p w:rsidR="003E47E0" w:rsidRPr="00862C73" w:rsidRDefault="003E47E0" w:rsidP="00BE172D">
            <w:pPr>
              <w:spacing w:after="0"/>
              <w:rPr>
                <w:lang w:val="en-CA"/>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Transmit antennas</w:t>
            </w:r>
          </w:p>
        </w:tc>
        <w:tc>
          <w:tcPr>
            <w:tcW w:w="2409" w:type="dxa"/>
            <w:shd w:val="clear" w:color="auto" w:fill="auto"/>
          </w:tcPr>
          <w:p w:rsidR="003E47E0" w:rsidRPr="00862C73" w:rsidRDefault="003E47E0" w:rsidP="00BE172D">
            <w:pPr>
              <w:spacing w:after="0"/>
              <w:jc w:val="center"/>
              <w:rPr>
                <w:lang w:val="en-CA"/>
              </w:rPr>
            </w:pPr>
            <w:r>
              <w:rPr>
                <w:lang w:val="en-CA"/>
              </w:rPr>
              <w:t>1</w:t>
            </w:r>
          </w:p>
        </w:tc>
        <w:tc>
          <w:tcPr>
            <w:tcW w:w="4111" w:type="dxa"/>
            <w:shd w:val="clear" w:color="auto" w:fill="auto"/>
          </w:tcPr>
          <w:p w:rsidR="003E47E0" w:rsidRPr="00862C73" w:rsidRDefault="003E47E0" w:rsidP="00BE172D">
            <w:pPr>
              <w:spacing w:after="0"/>
              <w:rPr>
                <w:lang w:val="en-CA"/>
              </w:rPr>
            </w:pPr>
            <w:r>
              <w:rPr>
                <w:lang w:val="en-CA"/>
              </w:rPr>
              <w:t>One TX port only</w:t>
            </w: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Receive antennas</w:t>
            </w:r>
          </w:p>
        </w:tc>
        <w:tc>
          <w:tcPr>
            <w:tcW w:w="2409" w:type="dxa"/>
            <w:shd w:val="clear" w:color="auto" w:fill="auto"/>
          </w:tcPr>
          <w:p w:rsidR="003E47E0" w:rsidRPr="00862C73" w:rsidRDefault="003E47E0" w:rsidP="00BE172D">
            <w:pPr>
              <w:spacing w:after="0"/>
              <w:jc w:val="center"/>
              <w:rPr>
                <w:lang w:val="en-CA"/>
              </w:rPr>
            </w:pPr>
            <w:r>
              <w:rPr>
                <w:lang w:val="en-CA"/>
              </w:rPr>
              <w:t>1</w:t>
            </w:r>
            <w:r w:rsidRPr="00862C73">
              <w:rPr>
                <w:lang w:val="en-CA"/>
              </w:rPr>
              <w:t xml:space="preserve"> </w:t>
            </w:r>
          </w:p>
        </w:tc>
        <w:tc>
          <w:tcPr>
            <w:tcW w:w="4111" w:type="dxa"/>
            <w:shd w:val="clear" w:color="auto" w:fill="auto"/>
          </w:tcPr>
          <w:p w:rsidR="003E47E0" w:rsidRPr="00862C73" w:rsidRDefault="003E47E0" w:rsidP="00BE172D">
            <w:pPr>
              <w:spacing w:after="0"/>
              <w:rPr>
                <w:lang w:val="en-CA"/>
              </w:rPr>
            </w:pPr>
            <w:r>
              <w:rPr>
                <w:lang w:val="en-CA"/>
              </w:rPr>
              <w:t>One RX branch</w:t>
            </w:r>
          </w:p>
        </w:tc>
      </w:tr>
      <w:tr w:rsidR="003E47E0" w:rsidRPr="00862C73" w:rsidTr="00BE172D">
        <w:trPr>
          <w:jc w:val="center"/>
        </w:trPr>
        <w:tc>
          <w:tcPr>
            <w:tcW w:w="2694" w:type="dxa"/>
            <w:shd w:val="clear" w:color="auto" w:fill="auto"/>
          </w:tcPr>
          <w:p w:rsidR="003E47E0" w:rsidRDefault="003E47E0" w:rsidP="00BE172D">
            <w:pPr>
              <w:spacing w:after="0"/>
              <w:rPr>
                <w:lang w:val="en-CA"/>
              </w:rPr>
            </w:pPr>
            <w:r>
              <w:rPr>
                <w:lang w:val="en-CA"/>
              </w:rPr>
              <w:t>Propagation conditions</w:t>
            </w:r>
          </w:p>
          <w:p w:rsidR="003E47E0" w:rsidRPr="00862C73" w:rsidRDefault="003E47E0" w:rsidP="00BE172D">
            <w:pPr>
              <w:spacing w:after="0"/>
              <w:rPr>
                <w:lang w:val="en-CA"/>
              </w:rPr>
            </w:pPr>
            <w:r>
              <w:rPr>
                <w:lang w:val="en-CA"/>
              </w:rPr>
              <w:t>CE mode A</w:t>
            </w:r>
          </w:p>
        </w:tc>
        <w:tc>
          <w:tcPr>
            <w:tcW w:w="2409" w:type="dxa"/>
            <w:shd w:val="clear" w:color="auto" w:fill="auto"/>
          </w:tcPr>
          <w:p w:rsidR="003E47E0" w:rsidRPr="00A37A7F" w:rsidRDefault="003E47E0" w:rsidP="00BE172D">
            <w:pPr>
              <w:spacing w:after="0"/>
              <w:rPr>
                <w:lang w:val="sv-SE"/>
              </w:rPr>
            </w:pPr>
            <w:r w:rsidRPr="00A37A7F">
              <w:rPr>
                <w:lang w:val="sv-SE"/>
              </w:rPr>
              <w:t>AWGN, EPA1, EPA5, ETU1, ETU30</w:t>
            </w:r>
          </w:p>
        </w:tc>
        <w:tc>
          <w:tcPr>
            <w:tcW w:w="4111" w:type="dxa"/>
            <w:shd w:val="clear" w:color="auto" w:fill="auto"/>
          </w:tcPr>
          <w:p w:rsidR="003E47E0" w:rsidRPr="00862C73" w:rsidRDefault="003E47E0" w:rsidP="00BE172D">
            <w:pPr>
              <w:spacing w:after="0"/>
              <w:rPr>
                <w:lang w:val="en-CA"/>
              </w:rPr>
            </w:pPr>
            <w:r>
              <w:rPr>
                <w:lang w:val="en-CA"/>
              </w:rPr>
              <w:t>Range: Ês/Iot ≥ -6dB</w:t>
            </w:r>
          </w:p>
        </w:tc>
      </w:tr>
      <w:tr w:rsidR="003E47E0" w:rsidRPr="00862C73" w:rsidTr="00BE172D">
        <w:trPr>
          <w:jc w:val="center"/>
        </w:trPr>
        <w:tc>
          <w:tcPr>
            <w:tcW w:w="2694" w:type="dxa"/>
            <w:shd w:val="clear" w:color="auto" w:fill="auto"/>
          </w:tcPr>
          <w:p w:rsidR="003E47E0" w:rsidRDefault="003E47E0" w:rsidP="00BE172D">
            <w:pPr>
              <w:spacing w:after="0"/>
              <w:rPr>
                <w:lang w:val="en-CA"/>
              </w:rPr>
            </w:pPr>
            <w:r w:rsidRPr="00862C73">
              <w:rPr>
                <w:lang w:val="en-CA"/>
              </w:rPr>
              <w:t>Propagation conditions</w:t>
            </w:r>
          </w:p>
          <w:p w:rsidR="003E47E0" w:rsidRPr="00862C73" w:rsidRDefault="003E47E0" w:rsidP="00BE172D">
            <w:pPr>
              <w:spacing w:after="0"/>
              <w:rPr>
                <w:lang w:val="en-CA"/>
              </w:rPr>
            </w:pPr>
            <w:r>
              <w:rPr>
                <w:lang w:val="en-CA"/>
              </w:rPr>
              <w:t>CE mode B</w:t>
            </w:r>
          </w:p>
        </w:tc>
        <w:tc>
          <w:tcPr>
            <w:tcW w:w="2409" w:type="dxa"/>
            <w:shd w:val="clear" w:color="auto" w:fill="auto"/>
          </w:tcPr>
          <w:p w:rsidR="003E47E0" w:rsidRPr="00862C73" w:rsidRDefault="003E47E0" w:rsidP="00BE172D">
            <w:pPr>
              <w:spacing w:after="0"/>
              <w:rPr>
                <w:lang w:val="en-CA" w:eastAsia="zh-CN"/>
              </w:rPr>
            </w:pPr>
            <w:r>
              <w:rPr>
                <w:lang w:val="en-CA"/>
              </w:rPr>
              <w:t>AWGN, ETU 1, EPA 1Hz</w:t>
            </w:r>
          </w:p>
        </w:tc>
        <w:tc>
          <w:tcPr>
            <w:tcW w:w="4111" w:type="dxa"/>
            <w:shd w:val="clear" w:color="auto" w:fill="auto"/>
          </w:tcPr>
          <w:p w:rsidR="003E47E0" w:rsidRPr="00862C73" w:rsidRDefault="003E47E0" w:rsidP="00BE172D">
            <w:pPr>
              <w:spacing w:after="0"/>
              <w:rPr>
                <w:lang w:val="en-CA"/>
              </w:rPr>
            </w:pPr>
            <w:r>
              <w:rPr>
                <w:lang w:val="en-CA"/>
              </w:rPr>
              <w:t xml:space="preserve">Range: -15 </w:t>
            </w:r>
            <w:r>
              <w:rPr>
                <w:rFonts w:ascii="Calibri" w:hAnsi="Calibri"/>
                <w:lang w:val="en-CA"/>
              </w:rPr>
              <w:t xml:space="preserve">≤ </w:t>
            </w:r>
            <w:r>
              <w:rPr>
                <w:lang w:val="en-CA"/>
              </w:rPr>
              <w:t xml:space="preserve"> Ês/Iot </w:t>
            </w:r>
            <w:r>
              <w:rPr>
                <w:rFonts w:ascii="Calibri" w:hAnsi="Calibri"/>
                <w:lang w:val="en-CA"/>
              </w:rPr>
              <w:t>&lt;</w:t>
            </w:r>
            <w:r>
              <w:rPr>
                <w:lang w:val="en-CA"/>
              </w:rPr>
              <w:t xml:space="preserve"> -6 dB</w:t>
            </w: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CP length</w:t>
            </w:r>
          </w:p>
        </w:tc>
        <w:tc>
          <w:tcPr>
            <w:tcW w:w="2409" w:type="dxa"/>
            <w:shd w:val="clear" w:color="auto" w:fill="auto"/>
          </w:tcPr>
          <w:p w:rsidR="003E47E0" w:rsidRPr="00862C73" w:rsidRDefault="003E47E0" w:rsidP="00BE172D">
            <w:pPr>
              <w:spacing w:after="0"/>
              <w:jc w:val="center"/>
              <w:rPr>
                <w:lang w:val="en-CA"/>
              </w:rPr>
            </w:pPr>
            <w:r w:rsidRPr="00862C73">
              <w:rPr>
                <w:lang w:val="en-CA"/>
              </w:rPr>
              <w:t>Normal</w:t>
            </w:r>
          </w:p>
        </w:tc>
        <w:tc>
          <w:tcPr>
            <w:tcW w:w="4111" w:type="dxa"/>
            <w:shd w:val="clear" w:color="auto" w:fill="auto"/>
          </w:tcPr>
          <w:p w:rsidR="003E47E0" w:rsidRPr="00862C73" w:rsidRDefault="003E47E0" w:rsidP="00BE172D">
            <w:pPr>
              <w:spacing w:after="0"/>
              <w:rPr>
                <w:lang w:val="en-CA"/>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Carrier frequency</w:t>
            </w:r>
          </w:p>
        </w:tc>
        <w:tc>
          <w:tcPr>
            <w:tcW w:w="2409" w:type="dxa"/>
            <w:shd w:val="clear" w:color="auto" w:fill="auto"/>
          </w:tcPr>
          <w:p w:rsidR="003E47E0" w:rsidRPr="00862C73" w:rsidRDefault="003E47E0" w:rsidP="00BE172D">
            <w:pPr>
              <w:spacing w:after="0"/>
              <w:jc w:val="center"/>
              <w:rPr>
                <w:lang w:val="en-CA"/>
              </w:rPr>
            </w:pPr>
            <w:r w:rsidRPr="00862C73">
              <w:rPr>
                <w:lang w:val="en-CA"/>
              </w:rPr>
              <w:t>2 GHz</w:t>
            </w:r>
          </w:p>
        </w:tc>
        <w:tc>
          <w:tcPr>
            <w:tcW w:w="4111" w:type="dxa"/>
            <w:shd w:val="clear" w:color="auto" w:fill="auto"/>
          </w:tcPr>
          <w:p w:rsidR="003E47E0" w:rsidRPr="00862C73" w:rsidRDefault="003E47E0" w:rsidP="00BE172D">
            <w:pPr>
              <w:spacing w:after="0"/>
              <w:rPr>
                <w:lang w:val="en-CA"/>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Residual CFO</w:t>
            </w:r>
          </w:p>
        </w:tc>
        <w:tc>
          <w:tcPr>
            <w:tcW w:w="2409" w:type="dxa"/>
            <w:shd w:val="clear" w:color="auto" w:fill="auto"/>
          </w:tcPr>
          <w:p w:rsidR="003E47E0" w:rsidRPr="00862C73" w:rsidRDefault="003E47E0" w:rsidP="00BE172D">
            <w:pPr>
              <w:spacing w:after="0"/>
              <w:jc w:val="center"/>
              <w:rPr>
                <w:lang w:val="en-CA" w:eastAsia="zh-CN"/>
              </w:rPr>
            </w:pPr>
            <w:r w:rsidRPr="00862C73">
              <w:rPr>
                <w:lang w:val="en-CA" w:eastAsia="zh-CN"/>
              </w:rPr>
              <w:t>50Hz</w:t>
            </w:r>
          </w:p>
        </w:tc>
        <w:tc>
          <w:tcPr>
            <w:tcW w:w="4111" w:type="dxa"/>
            <w:shd w:val="clear" w:color="auto" w:fill="auto"/>
          </w:tcPr>
          <w:p w:rsidR="003E47E0" w:rsidRPr="00862C73" w:rsidRDefault="003E47E0" w:rsidP="00BE172D">
            <w:pPr>
              <w:spacing w:after="0"/>
              <w:rPr>
                <w:lang w:val="en-CA" w:eastAsia="zh-CN"/>
              </w:rPr>
            </w:pPr>
          </w:p>
        </w:tc>
      </w:tr>
    </w:tbl>
    <w:p w:rsidR="003E47E0" w:rsidRPr="003E47E0" w:rsidRDefault="003E47E0" w:rsidP="003E47E0">
      <w:pPr>
        <w:rPr>
          <w:lang w:val="en-CA"/>
        </w:rPr>
      </w:pPr>
    </w:p>
    <w:p w:rsidR="009F15C9" w:rsidRDefault="003E47E0" w:rsidP="00E42319">
      <w:pPr>
        <w:pStyle w:val="Heading2"/>
        <w:ind w:right="-261"/>
        <w:rPr>
          <w:lang w:val="en-CA"/>
        </w:rPr>
      </w:pPr>
      <w:r>
        <w:rPr>
          <w:lang w:val="en-CA"/>
        </w:rPr>
        <w:t xml:space="preserve">Simulation results, </w:t>
      </w:r>
      <w:r w:rsidR="009F15C9">
        <w:rPr>
          <w:lang w:val="en-CA"/>
        </w:rPr>
        <w:t>CE mode A</w:t>
      </w:r>
    </w:p>
    <w:p w:rsidR="009F15C9" w:rsidRDefault="009F15C9" w:rsidP="00E42319">
      <w:pPr>
        <w:ind w:right="-261" w:hanging="846"/>
        <w:rPr>
          <w:lang w:val="en-CA"/>
        </w:rPr>
      </w:pPr>
      <w:r w:rsidRPr="009F15C9">
        <w:rPr>
          <w:noProof/>
          <w:lang w:val="en-US"/>
        </w:rPr>
        <w:drawing>
          <wp:inline distT="0" distB="0" distL="0" distR="0">
            <wp:extent cx="3191256" cy="2395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r w:rsidRPr="009F15C9">
        <w:rPr>
          <w:noProof/>
          <w:lang w:val="en-US"/>
        </w:rPr>
        <w:drawing>
          <wp:inline distT="0" distB="0" distL="0" distR="0">
            <wp:extent cx="3191256" cy="2395728"/>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p w:rsidR="009F15C9" w:rsidRPr="009F15C9" w:rsidRDefault="009F15C9" w:rsidP="00E42319">
      <w:pPr>
        <w:ind w:right="-261" w:hanging="846"/>
        <w:rPr>
          <w:lang w:val="en-CA"/>
        </w:rPr>
      </w:pPr>
      <w:r w:rsidRPr="009F15C9">
        <w:rPr>
          <w:noProof/>
          <w:lang w:val="en-US"/>
        </w:rPr>
        <w:drawing>
          <wp:inline distT="0" distB="0" distL="0" distR="0">
            <wp:extent cx="3191256" cy="23957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p w:rsidR="009F15C9" w:rsidRDefault="003E47E0" w:rsidP="00E42319">
      <w:pPr>
        <w:pStyle w:val="Heading2"/>
        <w:ind w:right="-261" w:hanging="846"/>
        <w:rPr>
          <w:lang w:val="en-CA"/>
        </w:rPr>
      </w:pPr>
      <w:r>
        <w:rPr>
          <w:lang w:val="en-CA"/>
        </w:rPr>
        <w:lastRenderedPageBreak/>
        <w:t xml:space="preserve">Simulation results, </w:t>
      </w:r>
      <w:r w:rsidR="009F15C9">
        <w:rPr>
          <w:lang w:val="en-CA"/>
        </w:rPr>
        <w:t>CE mode B</w:t>
      </w:r>
    </w:p>
    <w:p w:rsidR="00565823" w:rsidRDefault="00565823" w:rsidP="00E42319">
      <w:pPr>
        <w:ind w:right="-261" w:hanging="846"/>
        <w:rPr>
          <w:lang w:val="en-CA"/>
        </w:rPr>
      </w:pPr>
      <w:r w:rsidRPr="00565823">
        <w:rPr>
          <w:noProof/>
          <w:lang w:val="en-US"/>
        </w:rPr>
        <w:drawing>
          <wp:inline distT="0" distB="0" distL="0" distR="0">
            <wp:extent cx="3191256" cy="2395728"/>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r w:rsidRPr="00565823">
        <w:rPr>
          <w:noProof/>
          <w:lang w:val="en-US"/>
        </w:rPr>
        <w:drawing>
          <wp:inline distT="0" distB="0" distL="0" distR="0">
            <wp:extent cx="3191256" cy="239572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p w:rsidR="009F15C9" w:rsidRPr="009F15C9" w:rsidRDefault="00565823" w:rsidP="00E42319">
      <w:pPr>
        <w:ind w:right="-261" w:hanging="846"/>
        <w:rPr>
          <w:lang w:val="en-CA"/>
        </w:rPr>
      </w:pPr>
      <w:r w:rsidRPr="00565823">
        <w:rPr>
          <w:noProof/>
          <w:lang w:val="en-US"/>
        </w:rPr>
        <w:drawing>
          <wp:inline distT="0" distB="0" distL="0" distR="0">
            <wp:extent cx="3191256" cy="239572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sectPr w:rsidR="009F15C9" w:rsidRPr="009F15C9" w:rsidSect="00D04AFA">
      <w:footerReference w:type="even" r:id="rId16"/>
      <w:footerReference w:type="defaul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829" w:rsidRDefault="004A4829">
      <w:r>
        <w:separator/>
      </w:r>
    </w:p>
  </w:endnote>
  <w:endnote w:type="continuationSeparator" w:id="0">
    <w:p w:rsidR="004A4829" w:rsidRDefault="004A4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72D" w:rsidRDefault="00BE172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E172D" w:rsidRDefault="00BE1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72D" w:rsidRDefault="00BE172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1906">
      <w:rPr>
        <w:rStyle w:val="PageNumber"/>
        <w:noProof/>
      </w:rPr>
      <w:t>4</w:t>
    </w:r>
    <w:r>
      <w:rPr>
        <w:rStyle w:val="PageNumber"/>
      </w:rPr>
      <w:fldChar w:fldCharType="end"/>
    </w:r>
  </w:p>
  <w:p w:rsidR="00BE172D" w:rsidRDefault="00BE1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829" w:rsidRDefault="004A4829">
      <w:r>
        <w:separator/>
      </w:r>
    </w:p>
  </w:footnote>
  <w:footnote w:type="continuationSeparator" w:id="0">
    <w:p w:rsidR="004A4829" w:rsidRDefault="004A4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1"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4"/>
  </w:num>
  <w:num w:numId="3">
    <w:abstractNumId w:val="42"/>
  </w:num>
  <w:num w:numId="4">
    <w:abstractNumId w:val="18"/>
  </w:num>
  <w:num w:numId="5">
    <w:abstractNumId w:val="26"/>
  </w:num>
  <w:num w:numId="6">
    <w:abstractNumId w:val="1"/>
  </w:num>
  <w:num w:numId="7">
    <w:abstractNumId w:val="0"/>
  </w:num>
  <w:num w:numId="8">
    <w:abstractNumId w:val="45"/>
  </w:num>
  <w:num w:numId="9">
    <w:abstractNumId w:val="34"/>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7"/>
  </w:num>
  <w:num w:numId="20">
    <w:abstractNumId w:val="8"/>
  </w:num>
  <w:num w:numId="21">
    <w:abstractNumId w:val="36"/>
  </w:num>
  <w:num w:numId="22">
    <w:abstractNumId w:val="39"/>
  </w:num>
  <w:num w:numId="23">
    <w:abstractNumId w:val="27"/>
  </w:num>
  <w:num w:numId="24">
    <w:abstractNumId w:val="10"/>
  </w:num>
  <w:num w:numId="25">
    <w:abstractNumId w:val="38"/>
  </w:num>
  <w:num w:numId="26">
    <w:abstractNumId w:val="12"/>
  </w:num>
  <w:num w:numId="27">
    <w:abstractNumId w:val="42"/>
  </w:num>
  <w:num w:numId="28">
    <w:abstractNumId w:val="32"/>
  </w:num>
  <w:num w:numId="29">
    <w:abstractNumId w:val="19"/>
  </w:num>
  <w:num w:numId="30">
    <w:abstractNumId w:val="11"/>
  </w:num>
  <w:num w:numId="31">
    <w:abstractNumId w:val="42"/>
  </w:num>
  <w:num w:numId="32">
    <w:abstractNumId w:val="5"/>
  </w:num>
  <w:num w:numId="33">
    <w:abstractNumId w:val="23"/>
  </w:num>
  <w:num w:numId="34">
    <w:abstractNumId w:val="33"/>
  </w:num>
  <w:num w:numId="35">
    <w:abstractNumId w:val="24"/>
  </w:num>
  <w:num w:numId="36">
    <w:abstractNumId w:val="31"/>
  </w:num>
  <w:num w:numId="37">
    <w:abstractNumId w:val="13"/>
  </w:num>
  <w:num w:numId="38">
    <w:abstractNumId w:val="40"/>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1"/>
  </w:num>
  <w:num w:numId="47">
    <w:abstractNumId w:val="43"/>
  </w:num>
  <w:num w:numId="4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071"/>
    <w:rsid w:val="0006418F"/>
    <w:rsid w:val="000641D6"/>
    <w:rsid w:val="000648E1"/>
    <w:rsid w:val="00064959"/>
    <w:rsid w:val="00064C41"/>
    <w:rsid w:val="00064EFD"/>
    <w:rsid w:val="00066D93"/>
    <w:rsid w:val="00067405"/>
    <w:rsid w:val="000675E8"/>
    <w:rsid w:val="00070911"/>
    <w:rsid w:val="00070B4E"/>
    <w:rsid w:val="00071066"/>
    <w:rsid w:val="000715C0"/>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A71"/>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5B7C"/>
    <w:rsid w:val="001171A1"/>
    <w:rsid w:val="00117538"/>
    <w:rsid w:val="00120582"/>
    <w:rsid w:val="001215C5"/>
    <w:rsid w:val="00121E60"/>
    <w:rsid w:val="00123A2E"/>
    <w:rsid w:val="001243FE"/>
    <w:rsid w:val="00124441"/>
    <w:rsid w:val="0012552E"/>
    <w:rsid w:val="00126DD9"/>
    <w:rsid w:val="001276CA"/>
    <w:rsid w:val="0013019C"/>
    <w:rsid w:val="00131312"/>
    <w:rsid w:val="00131978"/>
    <w:rsid w:val="00131A3B"/>
    <w:rsid w:val="0013373F"/>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AFC"/>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A68F2"/>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0CB"/>
    <w:rsid w:val="00323BF8"/>
    <w:rsid w:val="003248D7"/>
    <w:rsid w:val="00325A32"/>
    <w:rsid w:val="00326592"/>
    <w:rsid w:val="00327CA3"/>
    <w:rsid w:val="00327FD5"/>
    <w:rsid w:val="00330196"/>
    <w:rsid w:val="0033065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538"/>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4A3"/>
    <w:rsid w:val="00385FA4"/>
    <w:rsid w:val="003862A7"/>
    <w:rsid w:val="00386372"/>
    <w:rsid w:val="00390123"/>
    <w:rsid w:val="003906D3"/>
    <w:rsid w:val="00391B2F"/>
    <w:rsid w:val="003922FC"/>
    <w:rsid w:val="00394C4E"/>
    <w:rsid w:val="00394D90"/>
    <w:rsid w:val="00395D27"/>
    <w:rsid w:val="00396196"/>
    <w:rsid w:val="0039625F"/>
    <w:rsid w:val="0039674D"/>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47E0"/>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B36"/>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4829"/>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7F7"/>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37C"/>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A30"/>
    <w:rsid w:val="006070DC"/>
    <w:rsid w:val="006074F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3CF5"/>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C46"/>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0E16"/>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712"/>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2B44"/>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1FB"/>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0199"/>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35A"/>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04D8"/>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5D0C"/>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980"/>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854"/>
    <w:rsid w:val="009A6082"/>
    <w:rsid w:val="009A715C"/>
    <w:rsid w:val="009A781B"/>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E2F"/>
    <w:rsid w:val="00A034F5"/>
    <w:rsid w:val="00A03F50"/>
    <w:rsid w:val="00A0513C"/>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0517"/>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15CF"/>
    <w:rsid w:val="00BE172D"/>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BF7D73"/>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101"/>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45D"/>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49B"/>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1E8"/>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319"/>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63E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906"/>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523"/>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188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90105546">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B6369-642A-429C-98B2-C2428C76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2017-07-25T09:49:00Z</dcterms:created>
  <dcterms:modified xsi:type="dcterms:W3CDTF">2017-08-11T12:53:00Z</dcterms:modified>
</cp:coreProperties>
</file>